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Pr>
      <w:tblGrid>
        <w:gridCol w:w="3628"/>
        <w:gridCol w:w="2154"/>
        <w:gridCol w:w="2154"/>
        <w:gridCol w:w="2154"/>
      </w:tblGrid>
      <w:tr>
        <w:trPr>
          <w:cantSplit/>
        </w:trPr>
        <w:tc>
          <w:tcPr>
            <w:tcW w:type="dxa" w:w="3628"/>
          </w:tcPr>
          <w:p>
            <w:pPr>
              <w:bidi/>
              <w:spacing w:after="20" w:before="20"/>
            </w:pPr>
            <w:r>
              <w:rPr>
                <w:b w:val="0"/>
                <w:sz w:val="22"/>
                <w:u w:val="none"/>
                <w:rtl/>
                <w:szCs w:val="22"/>
              </w:rPr>
              <w:t>שם: ______________</w:t>
            </w:r>
          </w:p>
        </w:tc>
        <w:tc>
          <w:tcPr>
            <w:tcW w:type="dxa" w:w="2154"/>
          </w:tcPr>
          <w:p>
            <w:pPr>
              <w:bidi/>
              <w:spacing w:after="20" w:before="20"/>
            </w:pPr>
            <w:r>
              <w:rPr>
                <w:b w:val="0"/>
                <w:sz w:val="22"/>
                <w:u w:val="none"/>
                <w:rtl/>
                <w:szCs w:val="22"/>
              </w:rPr>
              <w:t>כיתה: __________</w:t>
            </w:r>
          </w:p>
        </w:tc>
        <w:tc>
          <w:tcPr>
            <w:tcW w:type="dxa" w:w="2154"/>
          </w:tcPr>
          <w:p>
            <w:pPr>
              <w:bidi/>
              <w:spacing w:after="20" w:before="20"/>
            </w:pPr>
            <w:r>
              <w:rPr>
                <w:b w:val="0"/>
                <w:sz w:val="22"/>
                <w:u w:val="none"/>
                <w:rtl/>
                <w:szCs w:val="22"/>
              </w:rPr>
              <w:t>תאריך: __________</w:t>
            </w:r>
          </w:p>
        </w:tc>
        <w:tc>
          <w:tcPr>
            <w:tcW w:type="dxa" w:w="2154"/>
          </w:tcPr>
          <w:p>
            <w:pPr>
              <w:bidi/>
              <w:spacing w:after="20" w:before="20"/>
            </w:pPr>
            <w:r>
              <w:rPr>
                <w:b w:val="0"/>
                <w:sz w:val="22"/>
                <w:u w:val="none"/>
                <w:rtl/>
                <w:szCs w:val="22"/>
              </w:rPr>
              <w:t>ציון: __________</w:t>
            </w:r>
          </w:p>
        </w:tc>
      </w:tr>
    </w:tbl>
    <w:p>
      <w:pPr>
        <w:bidi/>
        <w:spacing w:before="120" w:after="0"/>
        <w:jc w:val="center"/>
      </w:pPr>
      <w:r>
        <w:rPr>
          <w:b/>
          <w:color w:val="23336B"/>
          <w:sz w:val="38"/>
          <w:u w:val="none"/>
          <w:rtl/>
          <w:bCs/>
          <w:szCs w:val="38"/>
        </w:rPr>
        <w:t>מבחן בספרות – אמצעים אומנותיים: דימוי, האנשה ומטאפורה</w:t>
      </w:r>
    </w:p>
    <w:p>
      <w:pPr>
        <w:bidi/>
        <w:spacing w:before="0" w:after="80"/>
        <w:jc w:val="center"/>
      </w:pPr>
      <w:r>
        <w:rPr>
          <w:b w:val="0"/>
          <w:color w:val="5B6378"/>
          <w:sz w:val="21"/>
          <w:u w:val="none"/>
          <w:rtl/>
          <w:szCs w:val="21"/>
        </w:rPr>
        <w:t>מבחן על קטע – רמה מתקדמת · חטיבת ביניים, כיתות ז׳–ח׳</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5A74C4"/>
              <w:left w:val="single" w:sz="12" w:color="5A74C4"/>
              <w:bottom w:val="single" w:sz="12" w:color="5A74C4"/>
              <w:right w:val="single" w:sz="12" w:color="5A74C4"/>
            </w:tcBorders>
            <w:shd w:val="clear" w:color="auto" w:fill="F3F6FC"/>
          </w:tcPr>
          <w:p>
            <w:pPr>
              <w:bidi/>
              <w:spacing w:after="40"/>
            </w:pPr>
            <w:r>
              <w:rPr>
                <w:b/>
                <w:sz w:val="24"/>
                <w:u w:val="none"/>
                <w:rtl/>
                <w:bCs/>
                <w:szCs w:val="24"/>
              </w:rPr>
              <w:t>הוראות:</w:t>
            </w:r>
          </w:p>
          <w:p>
            <w:pPr>
              <w:bidi/>
              <w:spacing w:after="40"/>
            </w:pPr>
            <w:r>
              <w:rPr>
                <w:b w:val="0"/>
                <w:sz w:val="24"/>
                <w:u w:val="none"/>
                <w:rtl/>
                <w:szCs w:val="24"/>
              </w:rPr>
              <w:t>• משך המבחן: 90 דקות (שיעור כפול).</w:t>
            </w:r>
          </w:p>
          <w:p>
            <w:pPr>
              <w:bidi/>
              <w:spacing w:after="40"/>
            </w:pPr>
            <w:r>
              <w:rPr>
                <w:b w:val="0"/>
                <w:sz w:val="24"/>
                <w:u w:val="none"/>
                <w:rtl/>
                <w:szCs w:val="24"/>
              </w:rPr>
              <w:t xml:space="preserve">• קראו את הקטע "מטרייה צהובה" </w:t>
            </w:r>
            <w:r>
              <w:rPr>
                <w:b/>
                <w:sz w:val="24"/>
                <w:u w:val="none"/>
                <w:rtl/>
                <w:bCs/>
                <w:szCs w:val="24"/>
              </w:rPr>
              <w:t>פעמיים</w:t>
            </w:r>
            <w:r>
              <w:rPr>
                <w:b w:val="0"/>
                <w:sz w:val="24"/>
                <w:u w:val="none"/>
                <w:rtl/>
                <w:szCs w:val="24"/>
              </w:rPr>
              <w:t xml:space="preserve"> לפני שאתם מתחילים לענות. כל השאלות מתייחסות אליו.</w:t>
            </w:r>
          </w:p>
          <w:p>
            <w:pPr>
              <w:bidi/>
              <w:spacing w:after="40"/>
            </w:pPr>
            <w:r>
              <w:rPr>
                <w:b w:val="0"/>
                <w:sz w:val="24"/>
                <w:u w:val="none"/>
                <w:rtl/>
                <w:szCs w:val="24"/>
              </w:rPr>
              <w:t>• כשאתם מצטטים מהקטע – העתיקו את המילים במדויק, בתוך מירכאות, וציינו את מספר הפסקה.</w:t>
            </w:r>
          </w:p>
          <w:p>
            <w:pPr>
              <w:bidi/>
              <w:spacing w:after="40"/>
            </w:pPr>
            <w:r>
              <w:rPr>
                <w:b w:val="0"/>
                <w:sz w:val="24"/>
                <w:u w:val="none"/>
                <w:rtl/>
                <w:szCs w:val="24"/>
              </w:rPr>
              <w:t xml:space="preserve">• ענו במשפטים שלמים. יש לענות על כל השאלות; שאלת הבונוס – רשות. בהצלחה! </w:t>
            </w:r>
            <w:r>
              <w:drawing>
                <wp:inline xmlns:a="http://schemas.openxmlformats.org/drawingml/2006/main" xmlns:pic="http://schemas.openxmlformats.org/drawingml/2006/picture">
                  <wp:extent cx="160020" cy="16002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0020" cy="160020"/>
                          </a:xfrm>
                          <a:prstGeom prst="rect"/>
                        </pic:spPr>
                      </pic:pic>
                    </a:graphicData>
                  </a:graphic>
                </wp:inline>
              </w:drawing>
            </w:r>
          </w:p>
        </w:tc>
      </w:tr>
    </w:tbl>
    <w:p>
      <w:pPr>
        <w:bidi/>
        <w:spacing w:before="0" w:after="0"/>
      </w:pPr>
    </w:p>
    <w:tbl>
      <w:tblPr>
        <w:tblStyle w:val="TableGrid"/>
        <w:tblW w:type="auto" w:w="0"/>
        <w:jc w:val="center"/>
        <w:tblLayout w:type="fixed"/>
        <w:tblLook w:firstColumn="1" w:firstRow="1" w:lastColumn="0" w:lastRow="0" w:noHBand="0" w:noVBand="1" w:val="04A0"/>
        <w:bidiVisual/>
        <w:tblLayout w:type="fixed"/>
      </w:tblPr>
      <w:tblGrid>
        <w:gridCol w:w="1442"/>
        <w:gridCol w:w="1442"/>
        <w:gridCol w:w="1442"/>
        <w:gridCol w:w="1442"/>
        <w:gridCol w:w="1442"/>
        <w:gridCol w:w="1442"/>
        <w:gridCol w:w="1442"/>
      </w:tblGrid>
      <w:tr>
        <w:trPr>
          <w:cantSplit/>
        </w:trPr>
        <w:tc>
          <w:tcPr>
            <w:tcW w:type="dxa" w:w="1442"/>
            <w:shd w:val="clear" w:color="auto" w:fill="EEF2FB"/>
          </w:tcPr>
          <w:p>
            <w:pPr>
              <w:bidi/>
              <w:spacing w:after="20" w:before="20"/>
              <w:jc w:val="center"/>
            </w:pPr>
            <w:r>
              <w:rPr>
                <w:b/>
                <w:sz w:val="22"/>
                <w:u w:val="none"/>
                <w:rtl/>
                <w:bCs/>
                <w:szCs w:val="22"/>
              </w:rPr>
              <w:t>חלק א</w:t>
            </w:r>
          </w:p>
        </w:tc>
        <w:tc>
          <w:tcPr>
            <w:tcW w:type="dxa" w:w="1442"/>
            <w:shd w:val="clear" w:color="auto" w:fill="EEF2FB"/>
          </w:tcPr>
          <w:p>
            <w:pPr>
              <w:bidi/>
              <w:spacing w:after="20" w:before="20"/>
              <w:jc w:val="center"/>
            </w:pPr>
            <w:r>
              <w:rPr>
                <w:b/>
                <w:sz w:val="22"/>
                <w:u w:val="none"/>
                <w:rtl/>
                <w:bCs/>
                <w:szCs w:val="22"/>
              </w:rPr>
              <w:t>חלק ב</w:t>
            </w:r>
          </w:p>
        </w:tc>
        <w:tc>
          <w:tcPr>
            <w:tcW w:type="dxa" w:w="1442"/>
            <w:shd w:val="clear" w:color="auto" w:fill="EEF2FB"/>
          </w:tcPr>
          <w:p>
            <w:pPr>
              <w:bidi/>
              <w:spacing w:after="20" w:before="20"/>
              <w:jc w:val="center"/>
            </w:pPr>
            <w:r>
              <w:rPr>
                <w:b/>
                <w:sz w:val="22"/>
                <w:u w:val="none"/>
                <w:rtl/>
                <w:bCs/>
                <w:szCs w:val="22"/>
              </w:rPr>
              <w:t>חלק ג</w:t>
            </w:r>
          </w:p>
        </w:tc>
        <w:tc>
          <w:tcPr>
            <w:tcW w:type="dxa" w:w="1442"/>
            <w:shd w:val="clear" w:color="auto" w:fill="EEF2FB"/>
          </w:tcPr>
          <w:p>
            <w:pPr>
              <w:bidi/>
              <w:spacing w:after="20" w:before="20"/>
              <w:jc w:val="center"/>
            </w:pPr>
            <w:r>
              <w:rPr>
                <w:b/>
                <w:sz w:val="22"/>
                <w:u w:val="none"/>
                <w:rtl/>
                <w:bCs/>
                <w:szCs w:val="22"/>
              </w:rPr>
              <w:t>חלק ד</w:t>
            </w:r>
          </w:p>
        </w:tc>
        <w:tc>
          <w:tcPr>
            <w:tcW w:type="dxa" w:w="1442"/>
            <w:shd w:val="clear" w:color="auto" w:fill="EEF2FB"/>
          </w:tcPr>
          <w:p>
            <w:pPr>
              <w:bidi/>
              <w:spacing w:after="20" w:before="20"/>
              <w:jc w:val="center"/>
            </w:pPr>
            <w:r>
              <w:rPr>
                <w:b/>
                <w:sz w:val="22"/>
                <w:u w:val="none"/>
                <w:rtl/>
                <w:bCs/>
                <w:szCs w:val="22"/>
              </w:rPr>
              <w:t>חלק ה</w:t>
            </w:r>
          </w:p>
        </w:tc>
        <w:tc>
          <w:tcPr>
            <w:tcW w:type="dxa" w:w="1442"/>
            <w:shd w:val="clear" w:color="auto" w:fill="EEF2FB"/>
          </w:tcPr>
          <w:p>
            <w:pPr>
              <w:bidi/>
              <w:spacing w:after="20" w:before="20"/>
              <w:jc w:val="center"/>
            </w:pPr>
            <w:r>
              <w:rPr>
                <w:b/>
                <w:sz w:val="22"/>
                <w:u w:val="none"/>
                <w:rtl/>
                <w:bCs/>
                <w:szCs w:val="22"/>
              </w:rPr>
              <w:t>סה״כ</w:t>
            </w:r>
          </w:p>
        </w:tc>
        <w:tc>
          <w:tcPr>
            <w:tcW w:type="dxa" w:w="1442"/>
            <w:shd w:val="clear" w:color="auto" w:fill="EEF2FB"/>
          </w:tcPr>
          <w:p>
            <w:pPr>
              <w:bidi/>
              <w:spacing w:after="20" w:before="20"/>
              <w:jc w:val="center"/>
            </w:pPr>
            <w:r>
              <w:rPr>
                <w:b/>
                <w:sz w:val="22"/>
                <w:u w:val="none"/>
                <w:rtl/>
                <w:bCs/>
                <w:szCs w:val="22"/>
              </w:rPr>
              <w:t>בונוס</w:t>
            </w:r>
          </w:p>
        </w:tc>
      </w:tr>
      <w:tr>
        <w:trPr>
          <w:cantSplit/>
        </w:trPr>
        <w:tc>
          <w:tcPr>
            <w:tcW w:type="dxa" w:w="1442"/>
          </w:tcPr>
          <w:p>
            <w:pPr>
              <w:bidi/>
              <w:spacing w:after="20" w:before="20"/>
              <w:jc w:val="center"/>
            </w:pPr>
            <w:r>
              <w:rPr>
                <w:b w:val="0"/>
                <w:sz w:val="22"/>
                <w:u w:val="none"/>
                <w:rtl/>
                <w:szCs w:val="22"/>
              </w:rPr>
              <w:t>10</w:t>
            </w:r>
          </w:p>
        </w:tc>
        <w:tc>
          <w:tcPr>
            <w:tcW w:type="dxa" w:w="1442"/>
          </w:tcPr>
          <w:p>
            <w:pPr>
              <w:bidi/>
              <w:spacing w:after="20" w:before="20"/>
              <w:jc w:val="center"/>
            </w:pPr>
            <w:r>
              <w:rPr>
                <w:b w:val="0"/>
                <w:sz w:val="22"/>
                <w:u w:val="none"/>
                <w:rtl/>
                <w:szCs w:val="22"/>
              </w:rPr>
              <w:t>22</w:t>
            </w:r>
          </w:p>
        </w:tc>
        <w:tc>
          <w:tcPr>
            <w:tcW w:type="dxa" w:w="1442"/>
          </w:tcPr>
          <w:p>
            <w:pPr>
              <w:bidi/>
              <w:spacing w:after="20" w:before="20"/>
              <w:jc w:val="center"/>
            </w:pPr>
            <w:r>
              <w:rPr>
                <w:b w:val="0"/>
                <w:sz w:val="22"/>
                <w:u w:val="none"/>
                <w:rtl/>
                <w:szCs w:val="22"/>
              </w:rPr>
              <w:t>30</w:t>
            </w:r>
          </w:p>
        </w:tc>
        <w:tc>
          <w:tcPr>
            <w:tcW w:type="dxa" w:w="1442"/>
          </w:tcPr>
          <w:p>
            <w:pPr>
              <w:bidi/>
              <w:spacing w:after="20" w:before="20"/>
              <w:jc w:val="center"/>
            </w:pPr>
            <w:r>
              <w:rPr>
                <w:b w:val="0"/>
                <w:sz w:val="22"/>
                <w:u w:val="none"/>
                <w:rtl/>
                <w:szCs w:val="22"/>
              </w:rPr>
              <w:t>24</w:t>
            </w:r>
          </w:p>
        </w:tc>
        <w:tc>
          <w:tcPr>
            <w:tcW w:type="dxa" w:w="1442"/>
          </w:tcPr>
          <w:p>
            <w:pPr>
              <w:bidi/>
              <w:spacing w:after="20" w:before="20"/>
              <w:jc w:val="center"/>
            </w:pPr>
            <w:r>
              <w:rPr>
                <w:b w:val="0"/>
                <w:sz w:val="22"/>
                <w:u w:val="none"/>
                <w:rtl/>
                <w:szCs w:val="22"/>
              </w:rPr>
              <w:t>14</w:t>
            </w:r>
          </w:p>
        </w:tc>
        <w:tc>
          <w:tcPr>
            <w:tcW w:type="dxa" w:w="1442"/>
          </w:tcPr>
          <w:p>
            <w:pPr>
              <w:bidi/>
              <w:spacing w:after="20" w:before="20"/>
              <w:jc w:val="center"/>
            </w:pPr>
            <w:r>
              <w:rPr>
                <w:b w:val="0"/>
                <w:sz w:val="22"/>
                <w:u w:val="none"/>
                <w:rtl/>
                <w:szCs w:val="22"/>
              </w:rPr>
              <w:t>100</w:t>
            </w:r>
          </w:p>
        </w:tc>
        <w:tc>
          <w:tcPr>
            <w:tcW w:type="dxa" w:w="1442"/>
          </w:tcPr>
          <w:p>
            <w:pPr>
              <w:bidi/>
              <w:spacing w:after="20" w:before="20"/>
              <w:jc w:val="center"/>
            </w:pPr>
            <w:r>
              <w:rPr>
                <w:b w:val="0"/>
                <w:sz w:val="22"/>
                <w:u w:val="none"/>
                <w:rtl/>
                <w:szCs w:val="22"/>
              </w:rPr>
              <w:t>5 (רשות)</w:t>
            </w:r>
          </w:p>
        </w:tc>
      </w:tr>
    </w:tbl>
    <w:p>
      <w:pPr>
        <w:bidi/>
        <w:spacing w:before="0" w:after="40"/>
      </w:pPr>
    </w:p>
    <w:p>
      <w:pPr>
        <w:bidi/>
        <w:spacing w:before="120" w:after="0"/>
        <w:jc w:val="center"/>
      </w:pPr>
      <w:r>
        <w:rPr>
          <w:b/>
          <w:color w:val="23336B"/>
          <w:sz w:val="32"/>
          <w:u w:val="none"/>
          <w:rtl/>
          <w:bCs/>
          <w:szCs w:val="32"/>
        </w:rPr>
        <w:t>מטרייה צהובה</w:t>
      </w:r>
    </w:p>
    <w:p>
      <w:pPr>
        <w:bidi/>
        <w:spacing w:before="0" w:after="80"/>
        <w:jc w:val="center"/>
      </w:pPr>
      <w:r>
        <w:drawing>
          <wp:inline xmlns:a="http://schemas.openxmlformats.org/drawingml/2006/main" xmlns:pic="http://schemas.openxmlformats.org/drawingml/2006/picture">
            <wp:extent cx="133350" cy="13335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3350" cy="133350"/>
                    </a:xfrm>
                    <a:prstGeom prst="rect"/>
                  </pic:spPr>
                </pic:pic>
              </a:graphicData>
            </a:graphic>
          </wp:inline>
        </w:drawing>
      </w:r>
      <w:r>
        <w:rPr>
          <w:b w:val="0"/>
          <w:color w:val="5B6378"/>
          <w:sz w:val="20"/>
          <w:u w:val="none"/>
          <w:rtl/>
          <w:szCs w:val="20"/>
        </w:rPr>
        <w:t xml:space="preserve"> חיבור שלנו</w:t>
      </w:r>
    </w:p>
    <w:p>
      <w:pPr>
        <w:bidi/>
        <w:spacing w:before="0" w:after="80" w:line="360" w:lineRule="auto"/>
        <w:pBdr>
          <w:right w:val="single" w:sz="18" w:color="C9D3EA" w:space="6"/>
        </w:pBdr>
      </w:pPr>
      <w:r>
        <w:rPr>
          <w:b/>
          <w:color w:val="23336B"/>
          <w:sz w:val="24"/>
          <w:u w:val="none"/>
          <w:rtl/>
          <w:bCs/>
          <w:szCs w:val="24"/>
        </w:rPr>
        <w:t xml:space="preserve">(1)  </w:t>
      </w:r>
      <w:r>
        <w:rPr>
          <w:b w:val="0"/>
          <w:sz w:val="24"/>
          <w:u w:val="none"/>
          <w:rtl/>
          <w:szCs w:val="24"/>
        </w:rPr>
        <w:t>ביום שעברנו לעיר החדשה, השמיים היו אפורים כמו שמיכה ישנה שאיש לא כיבס כבר שנים. משאית ההובלה נאנחה בכבדות ונסעה, ואני נשארתי על המדרכה מול בניין זר. אמא ניסתה לחייך ואמרה: "תראי, זה קשה רק בהתחלה." הבניינים הגבוהים הביטו בי מלמעלה בפנים חתומות, ואף אחד מהם לא אמר לי שלום. חיבקתי חזק את התרמיל שלי, כאילו היה גלגל הצלה בים פתוח. בלילה, במיטה החדשה, הגעגועים היו אבן כבדה על החזה שלי, וכמעט לא הצלחתי לנשום.</w:t>
      </w:r>
    </w:p>
    <w:p>
      <w:pPr>
        <w:bidi/>
        <w:spacing w:before="0" w:after="80" w:line="360" w:lineRule="auto"/>
        <w:pBdr>
          <w:right w:val="single" w:sz="18" w:color="C9D3EA" w:space="6"/>
        </w:pBdr>
      </w:pPr>
      <w:r>
        <w:rPr>
          <w:b/>
          <w:color w:val="23336B"/>
          <w:sz w:val="24"/>
          <w:u w:val="none"/>
          <w:rtl/>
          <w:bCs/>
          <w:szCs w:val="24"/>
        </w:rPr>
        <w:t xml:space="preserve">(2)  </w:t>
      </w:r>
      <w:r>
        <w:rPr>
          <w:b w:val="0"/>
          <w:sz w:val="24"/>
          <w:u w:val="none"/>
          <w:rtl/>
          <w:szCs w:val="24"/>
        </w:rPr>
        <w:t>בבוקר הראשון בבית הספר החדש הלכתי לאט־לאט, כי הרגליים שלי היו עופרת. השער הירוק של בית הספר פיהק לעברי בשעמום. במסדרון, התלמידים זרמו סביבי כמו נחל שוצף סביב סלע, ואני עמדתי באמצע – דוממת, שקטה וזרה. כולם ידעו לאן ללכת. רק אני לא. בכיתה, המורה הציגה אותי בקול רם: "זאת מאיה, היא הגיעה אלינו מהצפון." עשרים וחמישה זוגות עיניים הסתובבו אליי בבת אחת, ואני רציתי להיעלם.</w:t>
      </w:r>
    </w:p>
    <w:p>
      <w:pPr>
        <w:bidi/>
        <w:spacing w:before="0" w:after="80" w:line="360" w:lineRule="auto"/>
        <w:pBdr>
          <w:right w:val="single" w:sz="18" w:color="C9D3EA" w:space="6"/>
        </w:pBdr>
      </w:pPr>
      <w:r>
        <w:rPr>
          <w:b/>
          <w:color w:val="23336B"/>
          <w:sz w:val="24"/>
          <w:u w:val="none"/>
          <w:rtl/>
          <w:bCs/>
          <w:szCs w:val="24"/>
        </w:rPr>
        <w:t xml:space="preserve">(3)  </w:t>
      </w:r>
      <w:r>
        <w:rPr>
          <w:b w:val="0"/>
          <w:sz w:val="24"/>
          <w:u w:val="none"/>
          <w:rtl/>
          <w:szCs w:val="24"/>
        </w:rPr>
        <w:t>הכיתה הייתה ים סוער, ואני – סירת נייר קטנה בלב הים. גלים של צחוק התנפצו סביבי מכל עבר, ומשבי לחישות טלטלו אותי מצד לצד. חיפשתי נמל שבו אוכל לעגון, אבל כל החופים כבר היו תפוסים: כל אחד ישב ליד החברים הקבועים שלו. המורה חייכה אליי מקצה הכיתה, אבל החיוך שלה נשאר רחוק, כמו מגדלור על חוף אחר.</w:t>
      </w:r>
    </w:p>
    <w:p>
      <w:pPr>
        <w:bidi/>
        <w:spacing w:before="0" w:after="80" w:line="360" w:lineRule="auto"/>
        <w:pBdr>
          <w:right w:val="single" w:sz="18" w:color="C9D3EA" w:space="6"/>
        </w:pBdr>
      </w:pPr>
      <w:r>
        <w:rPr>
          <w:b/>
          <w:color w:val="23336B"/>
          <w:sz w:val="24"/>
          <w:u w:val="none"/>
          <w:rtl/>
          <w:bCs/>
          <w:szCs w:val="24"/>
        </w:rPr>
        <w:t xml:space="preserve">(4)  </w:t>
      </w:r>
      <w:r>
        <w:rPr>
          <w:b w:val="0"/>
          <w:sz w:val="24"/>
          <w:u w:val="none"/>
          <w:rtl/>
          <w:szCs w:val="24"/>
        </w:rPr>
        <w:t>בהפסקה הגדולה, השמיים, שהתאפקו כל הבוקר, פרצו סוף־סוף בבכי. קול הגשם על גגות הפח היה דומה לתיפוף של אלפי אצבעות קטנות. כל התלמידים רצו פנימה בצעקות, ורק אני נשארתי בחצר, בלי מטרייה, רטובה עד העצמות. ואז שמעתי קול: "בואי, יש פה מקום לשתיים!" זאת הייתה תמר, ילדה מהכיתה שלי, שגם הנעליים שלה כבר היו רטובות לגמרי. המטרייה הצהובה שלה נפתחה מעל ראשי כְּשֶׁמֶשׁ קטנה באמצע החורף. באותו רגע הבנתי: המטרייה הצהובה הזאת היא הנמל שחיפשתי.</w:t>
      </w:r>
    </w:p>
    <w:p>
      <w:pPr>
        <w:bidi/>
        <w:spacing w:before="0" w:after="80" w:line="360" w:lineRule="auto"/>
        <w:pBdr>
          <w:right w:val="single" w:sz="18" w:color="C9D3EA" w:space="6"/>
        </w:pBdr>
      </w:pPr>
      <w:r>
        <w:rPr>
          <w:b/>
          <w:color w:val="23336B"/>
          <w:sz w:val="24"/>
          <w:u w:val="none"/>
          <w:rtl/>
          <w:bCs/>
          <w:szCs w:val="24"/>
        </w:rPr>
        <w:t xml:space="preserve">(5)  </w:t>
      </w:r>
      <w:r>
        <w:rPr>
          <w:b w:val="0"/>
          <w:sz w:val="24"/>
          <w:u w:val="none"/>
          <w:rtl/>
          <w:szCs w:val="24"/>
        </w:rPr>
        <w:t>הלכנו הביתה יחד, צמודות זו לזו מתחת למטרייה אחת, והעיר כבר נראתה אחרת. הרחובות הרטובים נצצו כמו מראות. הבניינים, שביום הראשון הביטו בי בפנים חתומות, שטפו את פניהם בגשם וחייכו אליי בחלונות מוארים. ענן אחרון, כדמות כבשה לבנה, נדד לאיטו אל הים. בדרך סיפרה לי תמר שגם היא עברה לעיר הזאת לפני שנתיים, ושגם היא חיכתה אז למישהו שיגיד לה "בואי". מאז, הגשם הוא חבר ותיק שלי. הגעגועים עדיין שם, אבל האבן שעל החזה הפכה לחלוק נחל קטן וחלק – כזה שאפשר לשאת בכיס.</w:t>
      </w:r>
    </w:p>
    <w:p>
      <w:pPr>
        <w:bidi/>
        <w:spacing w:before="0" w:after="40"/>
      </w:pPr>
    </w:p>
    <w:p>
      <w:pPr>
        <w:keepNext/>
        <w:bidi/>
        <w:spacing w:before="200" w:after="80"/>
        <w:shd w:val="clear" w:color="auto" w:fill="23336B"/>
      </w:pPr>
      <w:r>
        <w:rPr>
          <w:b/>
          <w:color w:val="FFFFFF"/>
          <w:sz w:val="28"/>
          <w:u w:val="none"/>
          <w:rtl/>
          <w:bCs/>
          <w:szCs w:val="28"/>
        </w:rPr>
        <w:t>חלק א – חימום: ידע   (10 נק׳)</w:t>
      </w:r>
    </w:p>
    <w:p>
      <w:pPr>
        <w:keepNext/>
        <w:bidi/>
        <w:spacing w:before="160" w:after="40"/>
      </w:pPr>
      <w:r>
        <w:rPr>
          <w:b/>
          <w:color w:val="23336B"/>
          <w:sz w:val="24"/>
          <w:u w:val="none"/>
          <w:rtl/>
          <w:bCs/>
          <w:szCs w:val="24"/>
        </w:rPr>
        <w:t xml:space="preserve">1. </w:t>
      </w:r>
      <w:r>
        <w:rPr>
          <w:b/>
          <w:sz w:val="24"/>
          <w:u w:val="none"/>
          <w:rtl/>
          <w:bCs/>
          <w:szCs w:val="24"/>
        </w:rPr>
        <w:t>הגדירו</w:t>
      </w:r>
      <w:r>
        <w:rPr>
          <w:b w:val="0"/>
          <w:sz w:val="24"/>
          <w:u w:val="none"/>
          <w:rtl/>
          <w:szCs w:val="24"/>
        </w:rPr>
        <w:t xml:space="preserve"> במשפט אחד כל אחד מן המושגים: </w:t>
      </w:r>
      <w:r>
        <w:rPr>
          <w:b/>
          <w:sz w:val="24"/>
          <w:u w:val="none"/>
          <w:rtl/>
          <w:bCs/>
          <w:szCs w:val="24"/>
        </w:rPr>
        <w:t>דימוי</w:t>
      </w:r>
      <w:r>
        <w:rPr>
          <w:b w:val="0"/>
          <w:sz w:val="24"/>
          <w:u w:val="none"/>
          <w:rtl/>
          <w:szCs w:val="24"/>
        </w:rPr>
        <w:t xml:space="preserve">, </w:t>
      </w:r>
      <w:r>
        <w:rPr>
          <w:b/>
          <w:sz w:val="24"/>
          <w:u w:val="none"/>
          <w:rtl/>
          <w:bCs/>
          <w:szCs w:val="24"/>
        </w:rPr>
        <w:t>מטאפורה</w:t>
      </w:r>
      <w:r>
        <w:rPr>
          <w:b w:val="0"/>
          <w:sz w:val="24"/>
          <w:u w:val="none"/>
          <w:rtl/>
          <w:szCs w:val="24"/>
        </w:rPr>
        <w:t xml:space="preserve">, </w:t>
      </w:r>
      <w:r>
        <w:rPr>
          <w:b/>
          <w:sz w:val="24"/>
          <w:u w:val="none"/>
          <w:rtl/>
          <w:bCs/>
          <w:szCs w:val="24"/>
        </w:rPr>
        <w:t>האנשה</w:t>
      </w:r>
      <w:r>
        <w:rPr>
          <w:b w:val="0"/>
          <w:sz w:val="24"/>
          <w:u w:val="none"/>
          <w:rtl/>
          <w:szCs w:val="24"/>
        </w:rPr>
        <w:t xml:space="preserve">. </w:t>
      </w:r>
      <w:r>
        <w:rPr>
          <w:b w:val="0"/>
          <w:color w:val="7A5B00"/>
          <w:sz w:val="19"/>
          <w:u w:val="none"/>
          <w:rtl/>
          <w:szCs w:val="19"/>
        </w:rPr>
        <w:t>(6 נק׳ – 2 לכל מושג)</w:t>
      </w:r>
    </w:p>
    <w:p>
      <w:pPr>
        <w:bidi/>
        <w:spacing w:before="0" w:after="40"/>
      </w:pPr>
      <w:r>
        <w:rPr>
          <w:b w:val="0"/>
          <w:sz w:val="24"/>
          <w:u w:val="none"/>
          <w:rtl/>
          <w:szCs w:val="24"/>
        </w:rPr>
        <w:t>דימוי: ____________________________________________________________</w:t>
      </w:r>
    </w:p>
    <w:p>
      <w:pPr>
        <w:bidi/>
        <w:spacing w:before="0" w:after="40"/>
      </w:pPr>
      <w:r>
        <w:rPr>
          <w:b w:val="0"/>
          <w:sz w:val="24"/>
          <w:u w:val="none"/>
          <w:rtl/>
          <w:szCs w:val="24"/>
        </w:rPr>
        <w:t>מטאפורה: __________________________________________________________</w:t>
      </w:r>
    </w:p>
    <w:p>
      <w:pPr>
        <w:bidi/>
        <w:spacing w:before="0" w:after="40"/>
      </w:pPr>
      <w:r>
        <w:rPr>
          <w:b w:val="0"/>
          <w:sz w:val="24"/>
          <w:u w:val="none"/>
          <w:rtl/>
          <w:szCs w:val="24"/>
        </w:rPr>
        <w:t>האנשה: ____________________________________________________________</w:t>
      </w:r>
    </w:p>
    <w:p>
      <w:pPr>
        <w:keepNext/>
        <w:bidi/>
        <w:spacing w:before="160" w:after="40"/>
      </w:pPr>
      <w:r>
        <w:rPr>
          <w:b/>
          <w:color w:val="23336B"/>
          <w:sz w:val="24"/>
          <w:u w:val="none"/>
          <w:rtl/>
          <w:bCs/>
          <w:szCs w:val="24"/>
        </w:rPr>
        <w:t xml:space="preserve">2. </w:t>
      </w:r>
      <w:r>
        <w:rPr>
          <w:b/>
          <w:sz w:val="24"/>
          <w:u w:val="none"/>
          <w:rtl/>
          <w:bCs/>
          <w:szCs w:val="24"/>
        </w:rPr>
        <w:t>השלימו</w:t>
      </w:r>
      <w:r>
        <w:rPr>
          <w:b w:val="0"/>
          <w:sz w:val="24"/>
          <w:u w:val="none"/>
          <w:rtl/>
          <w:szCs w:val="24"/>
        </w:rPr>
        <w:t xml:space="preserve"> את רכיבי הדימוי: </w:t>
      </w:r>
      <w:r>
        <w:rPr>
          <w:b w:val="0"/>
          <w:color w:val="7A5B00"/>
          <w:sz w:val="19"/>
          <w:u w:val="none"/>
          <w:rtl/>
          <w:szCs w:val="19"/>
        </w:rPr>
        <w:t>(4 נק׳ – 1 לכל רכיב)</w:t>
      </w:r>
    </w:p>
    <w:p>
      <w:pPr>
        <w:bidi/>
        <w:spacing w:before="0" w:after="40"/>
      </w:pPr>
      <w:r>
        <w:rPr>
          <w:b w:val="0"/>
          <w:sz w:val="24"/>
          <w:u w:val="none"/>
          <w:rtl/>
          <w:szCs w:val="24"/>
        </w:rPr>
        <w:t>בדימוי יש ארבעה רכיבים: ______________ (הדבר שמתארים), ______________ (הדבר שמשווים אליו),</w:t>
      </w:r>
    </w:p>
    <w:p>
      <w:pPr>
        <w:bidi/>
        <w:spacing w:before="0" w:after="40"/>
      </w:pPr>
      <w:r>
        <w:rPr>
          <w:b w:val="0"/>
          <w:sz w:val="24"/>
          <w:u w:val="none"/>
          <w:rtl/>
          <w:szCs w:val="24"/>
        </w:rPr>
        <w:t>______________ (למשל: כמו, כאילו) ו־______________ (התכונה המשותפת לשניהם).</w:t>
      </w:r>
    </w:p>
    <w:p>
      <w:pPr>
        <w:keepNext/>
        <w:bidi/>
        <w:spacing w:before="200" w:after="80"/>
        <w:shd w:val="clear" w:color="auto" w:fill="23336B"/>
      </w:pPr>
      <w:r>
        <w:rPr>
          <w:b/>
          <w:color w:val="FFFFFF"/>
          <w:sz w:val="28"/>
          <w:u w:val="none"/>
          <w:rtl/>
          <w:bCs/>
          <w:szCs w:val="28"/>
        </w:rPr>
        <w:t>חלק ב – איתור וניתוח   (22 נק׳)</w:t>
      </w:r>
    </w:p>
    <w:p>
      <w:pPr>
        <w:keepNext/>
        <w:bidi/>
        <w:spacing w:before="160" w:after="40"/>
      </w:pPr>
      <w:r>
        <w:rPr>
          <w:b/>
          <w:color w:val="23336B"/>
          <w:sz w:val="24"/>
          <w:u w:val="none"/>
          <w:rtl/>
          <w:bCs/>
          <w:szCs w:val="24"/>
        </w:rPr>
        <w:t xml:space="preserve">3. </w:t>
      </w:r>
      <w:r>
        <w:rPr>
          <w:b/>
          <w:sz w:val="24"/>
          <w:u w:val="none"/>
          <w:rtl/>
          <w:bCs/>
          <w:szCs w:val="24"/>
        </w:rPr>
        <w:t>מצאו</w:t>
      </w:r>
      <w:r>
        <w:rPr>
          <w:b w:val="0"/>
          <w:sz w:val="24"/>
          <w:u w:val="none"/>
          <w:rtl/>
          <w:szCs w:val="24"/>
        </w:rPr>
        <w:t xml:space="preserve"> בקטע את האמצעי המבוקש, </w:t>
      </w:r>
      <w:r>
        <w:rPr>
          <w:b/>
          <w:sz w:val="24"/>
          <w:u w:val="none"/>
          <w:rtl/>
          <w:bCs/>
          <w:szCs w:val="24"/>
        </w:rPr>
        <w:t>והעתיקו</w:t>
      </w:r>
      <w:r>
        <w:rPr>
          <w:b w:val="0"/>
          <w:sz w:val="24"/>
          <w:u w:val="none"/>
          <w:rtl/>
          <w:szCs w:val="24"/>
        </w:rPr>
        <w:t xml:space="preserve"> אותו במדויק. </w:t>
      </w:r>
      <w:r>
        <w:rPr>
          <w:b w:val="0"/>
          <w:color w:val="7A5B00"/>
          <w:sz w:val="19"/>
          <w:u w:val="none"/>
          <w:rtl/>
          <w:szCs w:val="19"/>
        </w:rPr>
        <w:t>(10 נק׳ – 2 לכל סעיף)</w:t>
      </w:r>
    </w:p>
    <w:p>
      <w:pPr>
        <w:bidi/>
        <w:spacing w:before="0" w:after="40"/>
      </w:pPr>
      <w:r>
        <w:rPr>
          <w:b w:val="0"/>
          <w:sz w:val="24"/>
          <w:u w:val="none"/>
          <w:rtl/>
          <w:szCs w:val="24"/>
        </w:rPr>
        <w:t>א. דימוי בפסקה 2: _______________________________________________________</w:t>
      </w:r>
    </w:p>
    <w:p>
      <w:pPr>
        <w:bidi/>
        <w:spacing w:before="0" w:after="40"/>
      </w:pPr>
      <w:r>
        <w:rPr>
          <w:b w:val="0"/>
          <w:sz w:val="24"/>
          <w:u w:val="none"/>
          <w:rtl/>
          <w:szCs w:val="24"/>
        </w:rPr>
        <w:t>ב. מטאפורה בפסקה 1: _____________________________________________________</w:t>
      </w:r>
    </w:p>
    <w:p>
      <w:pPr>
        <w:bidi/>
        <w:spacing w:before="0" w:after="40"/>
      </w:pPr>
      <w:r>
        <w:rPr>
          <w:b w:val="0"/>
          <w:sz w:val="24"/>
          <w:u w:val="none"/>
          <w:rtl/>
          <w:szCs w:val="24"/>
        </w:rPr>
        <w:t>ג. האנשה בפסקה 2: ______________________________________________________</w:t>
      </w:r>
    </w:p>
    <w:p>
      <w:pPr>
        <w:bidi/>
        <w:spacing w:before="0" w:after="40"/>
      </w:pPr>
      <w:r>
        <w:rPr>
          <w:b w:val="0"/>
          <w:sz w:val="24"/>
          <w:u w:val="none"/>
          <w:rtl/>
          <w:szCs w:val="24"/>
        </w:rPr>
        <w:t>ד. דימוי בפסקה 3: _______________________________________________________</w:t>
      </w:r>
    </w:p>
    <w:p>
      <w:pPr>
        <w:bidi/>
        <w:spacing w:before="0" w:after="40"/>
      </w:pPr>
      <w:r>
        <w:rPr>
          <w:b w:val="0"/>
          <w:sz w:val="24"/>
          <w:u w:val="none"/>
          <w:rtl/>
          <w:szCs w:val="24"/>
        </w:rPr>
        <w:t>ה. האנשה בפסקה 4: ______________________________________________________</w:t>
      </w:r>
    </w:p>
    <w:p>
      <w:pPr>
        <w:keepNext/>
        <w:bidi/>
        <w:spacing w:before="160" w:after="40"/>
      </w:pPr>
      <w:r>
        <w:rPr>
          <w:b/>
          <w:color w:val="23336B"/>
          <w:sz w:val="24"/>
          <w:u w:val="none"/>
          <w:rtl/>
          <w:bCs/>
          <w:szCs w:val="24"/>
        </w:rPr>
        <w:t xml:space="preserve">4. </w:t>
      </w:r>
      <w:r>
        <w:rPr>
          <w:b/>
          <w:sz w:val="24"/>
          <w:u w:val="none"/>
          <w:rtl/>
          <w:bCs/>
          <w:szCs w:val="24"/>
        </w:rPr>
        <w:t>נתחו</w:t>
      </w:r>
      <w:r>
        <w:rPr>
          <w:b w:val="0"/>
          <w:sz w:val="24"/>
          <w:u w:val="none"/>
          <w:rtl/>
          <w:szCs w:val="24"/>
        </w:rPr>
        <w:t xml:space="preserve"> כל דימוי בטבלה: המדומה, המדמה, מילת הדימוי והצד השווה (המכנה המשותף). </w:t>
      </w:r>
      <w:r>
        <w:rPr>
          <w:b w:val="0"/>
          <w:color w:val="7A5B00"/>
          <w:sz w:val="19"/>
          <w:u w:val="none"/>
          <w:rtl/>
          <w:szCs w:val="19"/>
        </w:rPr>
        <w:t>(12 נק׳ – 3 לכל שורה)</w:t>
      </w:r>
    </w:p>
    <w:tbl>
      <w:tblPr>
        <w:tblStyle w:val="TableGrid"/>
        <w:tblW w:type="auto" w:w="0"/>
        <w:jc w:val="center"/>
        <w:tblLayout w:type="fixed"/>
        <w:tblLook w:firstColumn="1" w:firstRow="1" w:lastColumn="0" w:lastRow="0" w:noHBand="0" w:noVBand="1" w:val="04A0"/>
        <w:bidiVisual/>
        <w:tblLayout w:type="fixed"/>
      </w:tblPr>
      <w:tblGrid>
        <w:gridCol w:w="3027"/>
        <w:gridCol w:w="1413"/>
        <w:gridCol w:w="1514"/>
        <w:gridCol w:w="1110"/>
        <w:gridCol w:w="3027"/>
      </w:tblGrid>
      <w:tr>
        <w:trPr>
          <w:cantSplit/>
        </w:trPr>
        <w:tc>
          <w:tcPr>
            <w:tcW w:type="dxa" w:w="3027"/>
            <w:shd w:val="clear" w:color="auto" w:fill="EEF2FB"/>
          </w:tcPr>
          <w:p>
            <w:pPr>
              <w:bidi/>
              <w:spacing w:after="20" w:before="20"/>
            </w:pPr>
            <w:r>
              <w:rPr>
                <w:b/>
                <w:sz w:val="22"/>
                <w:u w:val="none"/>
                <w:rtl/>
                <w:bCs/>
                <w:szCs w:val="22"/>
              </w:rPr>
              <w:t>הדימוי (פסקה)</w:t>
            </w:r>
          </w:p>
        </w:tc>
        <w:tc>
          <w:tcPr>
            <w:tcW w:type="dxa" w:w="1413"/>
            <w:shd w:val="clear" w:color="auto" w:fill="EEF2FB"/>
          </w:tcPr>
          <w:p>
            <w:pPr>
              <w:bidi/>
              <w:spacing w:after="20" w:before="20"/>
            </w:pPr>
            <w:r>
              <w:rPr>
                <w:b/>
                <w:sz w:val="22"/>
                <w:u w:val="none"/>
                <w:rtl/>
                <w:bCs/>
                <w:szCs w:val="22"/>
              </w:rPr>
              <w:t>המדומה</w:t>
            </w:r>
          </w:p>
        </w:tc>
        <w:tc>
          <w:tcPr>
            <w:tcW w:type="dxa" w:w="1514"/>
            <w:shd w:val="clear" w:color="auto" w:fill="EEF2FB"/>
          </w:tcPr>
          <w:p>
            <w:pPr>
              <w:bidi/>
              <w:spacing w:after="20" w:before="20"/>
            </w:pPr>
            <w:r>
              <w:rPr>
                <w:b/>
                <w:sz w:val="22"/>
                <w:u w:val="none"/>
                <w:rtl/>
                <w:bCs/>
                <w:szCs w:val="22"/>
              </w:rPr>
              <w:t>המדמה</w:t>
            </w:r>
          </w:p>
        </w:tc>
        <w:tc>
          <w:tcPr>
            <w:tcW w:type="dxa" w:w="1110"/>
            <w:shd w:val="clear" w:color="auto" w:fill="EEF2FB"/>
          </w:tcPr>
          <w:p>
            <w:pPr>
              <w:bidi/>
              <w:spacing w:after="20" w:before="20"/>
            </w:pPr>
            <w:r>
              <w:rPr>
                <w:b/>
                <w:sz w:val="22"/>
                <w:u w:val="none"/>
                <w:rtl/>
                <w:bCs/>
                <w:szCs w:val="22"/>
              </w:rPr>
              <w:t>מילת הדימוי</w:t>
            </w:r>
          </w:p>
        </w:tc>
        <w:tc>
          <w:tcPr>
            <w:tcW w:type="dxa" w:w="3027"/>
            <w:shd w:val="clear" w:color="auto" w:fill="EEF2FB"/>
          </w:tcPr>
          <w:p>
            <w:pPr>
              <w:bidi/>
              <w:spacing w:after="20" w:before="20"/>
            </w:pPr>
            <w:r>
              <w:rPr>
                <w:b/>
                <w:sz w:val="22"/>
                <w:u w:val="none"/>
                <w:rtl/>
                <w:bCs/>
                <w:szCs w:val="22"/>
              </w:rPr>
              <w:t>הצד השווה</w:t>
            </w:r>
          </w:p>
        </w:tc>
      </w:tr>
      <w:tr>
        <w:trPr>
          <w:cantSplit/>
          <w:trHeight w:val="624"/>
        </w:trPr>
        <w:tc>
          <w:tcPr>
            <w:tcW w:type="dxa" w:w="3027"/>
          </w:tcPr>
          <w:p>
            <w:pPr>
              <w:bidi/>
              <w:spacing w:after="20" w:before="20"/>
            </w:pPr>
            <w:r>
              <w:rPr>
                <w:b w:val="0"/>
                <w:sz w:val="22"/>
                <w:u w:val="none"/>
                <w:rtl/>
                <w:szCs w:val="22"/>
              </w:rPr>
              <w:t>"השמיים היו אפורים כמו שמיכה ישנה שאיש לא כיבס" (1)</w:t>
            </w:r>
          </w:p>
        </w:tc>
        <w:tc>
          <w:tcPr>
            <w:tcW w:type="dxa" w:w="1413"/>
          </w:tcPr>
          <w:p>
            <w:pPr>
              <w:bidi/>
              <w:spacing w:after="20" w:before="20"/>
            </w:pPr>
          </w:p>
        </w:tc>
        <w:tc>
          <w:tcPr>
            <w:tcW w:type="dxa" w:w="1514"/>
          </w:tcPr>
          <w:p>
            <w:pPr>
              <w:bidi/>
              <w:spacing w:after="20" w:before="20"/>
            </w:pPr>
          </w:p>
        </w:tc>
        <w:tc>
          <w:tcPr>
            <w:tcW w:type="dxa" w:w="1110"/>
          </w:tcPr>
          <w:p>
            <w:pPr>
              <w:bidi/>
              <w:spacing w:after="20" w:before="20"/>
            </w:pPr>
          </w:p>
        </w:tc>
        <w:tc>
          <w:tcPr>
            <w:tcW w:type="dxa" w:w="3027"/>
          </w:tcPr>
          <w:p>
            <w:pPr>
              <w:bidi/>
              <w:spacing w:after="20" w:before="20"/>
            </w:pPr>
          </w:p>
        </w:tc>
      </w:tr>
      <w:tr>
        <w:trPr>
          <w:cantSplit/>
          <w:trHeight w:val="624"/>
        </w:trPr>
        <w:tc>
          <w:tcPr>
            <w:tcW w:type="dxa" w:w="3027"/>
          </w:tcPr>
          <w:p>
            <w:pPr>
              <w:bidi/>
              <w:spacing w:after="20" w:before="20"/>
            </w:pPr>
            <w:r>
              <w:rPr>
                <w:b w:val="0"/>
                <w:sz w:val="22"/>
                <w:u w:val="none"/>
                <w:rtl/>
                <w:szCs w:val="22"/>
              </w:rPr>
              <w:t>"התלמידים זרמו סביבי כמו נחל שוצף" (2)</w:t>
            </w:r>
          </w:p>
        </w:tc>
        <w:tc>
          <w:tcPr>
            <w:tcW w:type="dxa" w:w="1413"/>
          </w:tcPr>
          <w:p>
            <w:pPr>
              <w:bidi/>
              <w:spacing w:after="20" w:before="20"/>
            </w:pPr>
          </w:p>
        </w:tc>
        <w:tc>
          <w:tcPr>
            <w:tcW w:type="dxa" w:w="1514"/>
          </w:tcPr>
          <w:p>
            <w:pPr>
              <w:bidi/>
              <w:spacing w:after="20" w:before="20"/>
            </w:pPr>
          </w:p>
        </w:tc>
        <w:tc>
          <w:tcPr>
            <w:tcW w:type="dxa" w:w="1110"/>
          </w:tcPr>
          <w:p>
            <w:pPr>
              <w:bidi/>
              <w:spacing w:after="20" w:before="20"/>
            </w:pPr>
          </w:p>
        </w:tc>
        <w:tc>
          <w:tcPr>
            <w:tcW w:type="dxa" w:w="3027"/>
          </w:tcPr>
          <w:p>
            <w:pPr>
              <w:bidi/>
              <w:spacing w:after="20" w:before="20"/>
            </w:pPr>
          </w:p>
        </w:tc>
      </w:tr>
      <w:tr>
        <w:trPr>
          <w:cantSplit/>
          <w:trHeight w:val="624"/>
        </w:trPr>
        <w:tc>
          <w:tcPr>
            <w:tcW w:type="dxa" w:w="3027"/>
          </w:tcPr>
          <w:p>
            <w:pPr>
              <w:bidi/>
              <w:spacing w:after="20" w:before="20"/>
            </w:pPr>
            <w:r>
              <w:rPr>
                <w:b w:val="0"/>
                <w:sz w:val="22"/>
                <w:u w:val="none"/>
                <w:rtl/>
                <w:szCs w:val="22"/>
              </w:rPr>
              <w:t>"המטרייה הצהובה שלה נפתחה מעל ראשי כְּשֶׁמֶשׁ קטנה" (4)</w:t>
            </w:r>
          </w:p>
        </w:tc>
        <w:tc>
          <w:tcPr>
            <w:tcW w:type="dxa" w:w="1413"/>
          </w:tcPr>
          <w:p>
            <w:pPr>
              <w:bidi/>
              <w:spacing w:after="20" w:before="20"/>
            </w:pPr>
          </w:p>
        </w:tc>
        <w:tc>
          <w:tcPr>
            <w:tcW w:type="dxa" w:w="1514"/>
          </w:tcPr>
          <w:p>
            <w:pPr>
              <w:bidi/>
              <w:spacing w:after="20" w:before="20"/>
            </w:pPr>
          </w:p>
        </w:tc>
        <w:tc>
          <w:tcPr>
            <w:tcW w:type="dxa" w:w="1110"/>
          </w:tcPr>
          <w:p>
            <w:pPr>
              <w:bidi/>
              <w:spacing w:after="20" w:before="20"/>
            </w:pPr>
          </w:p>
        </w:tc>
        <w:tc>
          <w:tcPr>
            <w:tcW w:type="dxa" w:w="3027"/>
          </w:tcPr>
          <w:p>
            <w:pPr>
              <w:bidi/>
              <w:spacing w:after="20" w:before="20"/>
            </w:pPr>
          </w:p>
        </w:tc>
      </w:tr>
      <w:tr>
        <w:trPr>
          <w:cantSplit/>
          <w:trHeight w:val="624"/>
        </w:trPr>
        <w:tc>
          <w:tcPr>
            <w:tcW w:type="dxa" w:w="3027"/>
          </w:tcPr>
          <w:p>
            <w:pPr>
              <w:bidi/>
              <w:spacing w:after="20" w:before="20"/>
            </w:pPr>
            <w:r>
              <w:rPr>
                <w:b w:val="0"/>
                <w:sz w:val="22"/>
                <w:u w:val="none"/>
                <w:rtl/>
                <w:szCs w:val="22"/>
              </w:rPr>
              <w:t>"ענן אחרון, כדמות כבשה לבנה, נדד לאיטו" (5)</w:t>
            </w:r>
          </w:p>
        </w:tc>
        <w:tc>
          <w:tcPr>
            <w:tcW w:type="dxa" w:w="1413"/>
          </w:tcPr>
          <w:p>
            <w:pPr>
              <w:bidi/>
              <w:spacing w:after="20" w:before="20"/>
            </w:pPr>
          </w:p>
        </w:tc>
        <w:tc>
          <w:tcPr>
            <w:tcW w:type="dxa" w:w="1514"/>
          </w:tcPr>
          <w:p>
            <w:pPr>
              <w:bidi/>
              <w:spacing w:after="20" w:before="20"/>
            </w:pPr>
          </w:p>
        </w:tc>
        <w:tc>
          <w:tcPr>
            <w:tcW w:type="dxa" w:w="1110"/>
          </w:tcPr>
          <w:p>
            <w:pPr>
              <w:bidi/>
              <w:spacing w:after="20" w:before="20"/>
            </w:pPr>
          </w:p>
        </w:tc>
        <w:tc>
          <w:tcPr>
            <w:tcW w:type="dxa" w:w="3027"/>
          </w:tcPr>
          <w:p>
            <w:pPr>
              <w:bidi/>
              <w:spacing w:after="20" w:before="20"/>
            </w:pPr>
          </w:p>
        </w:tc>
      </w:tr>
    </w:tbl>
    <w:p>
      <w:pPr>
        <w:bidi/>
        <w:spacing w:before="0" w:after="40"/>
      </w:pPr>
    </w:p>
    <w:p>
      <w:pPr>
        <w:keepNext/>
        <w:bidi/>
        <w:spacing w:before="200" w:after="80"/>
        <w:shd w:val="clear" w:color="auto" w:fill="23336B"/>
      </w:pPr>
      <w:r>
        <w:rPr>
          <w:b/>
          <w:color w:val="FFFFFF"/>
          <w:sz w:val="28"/>
          <w:u w:val="none"/>
          <w:rtl/>
          <w:bCs/>
          <w:szCs w:val="28"/>
        </w:rPr>
        <w:t>חלק ג – הבנה ופרשנות   (30 נק׳)</w:t>
      </w:r>
    </w:p>
    <w:p>
      <w:pPr>
        <w:keepNext/>
        <w:bidi/>
        <w:spacing w:before="160" w:after="40"/>
      </w:pPr>
      <w:r>
        <w:rPr>
          <w:b/>
          <w:color w:val="23336B"/>
          <w:sz w:val="24"/>
          <w:u w:val="none"/>
          <w:rtl/>
          <w:bCs/>
          <w:szCs w:val="24"/>
        </w:rPr>
        <w:t xml:space="preserve">5. </w:t>
      </w:r>
      <w:r>
        <w:drawing>
          <wp:inline xmlns:a="http://schemas.openxmlformats.org/drawingml/2006/main" xmlns:pic="http://schemas.openxmlformats.org/drawingml/2006/picture">
            <wp:extent cx="160020" cy="160020"/>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פסקאות 1 ו־5. קראו את שני המשפטים: </w:t>
      </w:r>
      <w:r>
        <w:rPr>
          <w:b w:val="0"/>
          <w:color w:val="7A5B00"/>
          <w:sz w:val="19"/>
          <w:u w:val="none"/>
          <w:rtl/>
          <w:szCs w:val="19"/>
        </w:rPr>
        <w:t>(6 נק׳)</w:t>
      </w:r>
    </w:p>
    <w:p>
      <w:pPr>
        <w:bidi/>
        <w:spacing w:before="0" w:after="40"/>
      </w:pPr>
      <w:r>
        <w:rPr>
          <w:b/>
          <w:sz w:val="24"/>
          <w:u w:val="none"/>
          <w:rtl/>
          <w:bCs/>
          <w:szCs w:val="24"/>
        </w:rPr>
        <w:t>"הגעגועים היו אבן כבדה על החזה שלי" (פסקה 1)</w:t>
      </w:r>
    </w:p>
    <w:p>
      <w:pPr>
        <w:bidi/>
        <w:spacing w:before="0" w:after="40"/>
      </w:pPr>
      <w:r>
        <w:rPr>
          <w:b/>
          <w:sz w:val="24"/>
          <w:u w:val="none"/>
          <w:rtl/>
          <w:bCs/>
          <w:szCs w:val="24"/>
        </w:rPr>
        <w:t>"האבן שעל החזה הפכה לחלוק נחל קטן וחלק – כזה שאפשר לשאת בכיס" (פסקה 5)</w:t>
      </w:r>
    </w:p>
    <w:p>
      <w:pPr>
        <w:bidi/>
        <w:spacing w:before="0" w:after="40"/>
      </w:pPr>
      <w:r>
        <w:rPr>
          <w:b w:val="0"/>
          <w:sz w:val="24"/>
          <w:u w:val="none"/>
          <w:rtl/>
          <w:szCs w:val="24"/>
        </w:rPr>
        <w:t xml:space="preserve">א. </w:t>
      </w:r>
      <w:r>
        <w:rPr>
          <w:b/>
          <w:sz w:val="24"/>
          <w:u w:val="none"/>
          <w:rtl/>
          <w:bCs/>
          <w:szCs w:val="24"/>
        </w:rPr>
        <w:t>הסבירו</w:t>
      </w:r>
      <w:r>
        <w:rPr>
          <w:b w:val="0"/>
          <w:sz w:val="24"/>
          <w:u w:val="none"/>
          <w:rtl/>
          <w:szCs w:val="24"/>
        </w:rPr>
        <w:t xml:space="preserve"> את המטאפורה בפסקה 1: מה היא מלמדת על הרגשתה של המספרת?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w:t>
      </w:r>
      <w:r>
        <w:rPr>
          <w:b/>
          <w:sz w:val="24"/>
          <w:u w:val="none"/>
          <w:rtl/>
          <w:bCs/>
          <w:szCs w:val="24"/>
        </w:rPr>
        <w:t>השוו</w:t>
      </w:r>
      <w:r>
        <w:rPr>
          <w:b w:val="0"/>
          <w:sz w:val="24"/>
          <w:u w:val="none"/>
          <w:rtl/>
          <w:szCs w:val="24"/>
        </w:rPr>
        <w:t xml:space="preserve">: מה השתנה במטאפורה בפסקה 5, ומה </w:t>
      </w:r>
      <w:r>
        <w:rPr>
          <w:b/>
          <w:sz w:val="24"/>
          <w:u w:val="none"/>
          <w:rtl/>
          <w:bCs/>
          <w:szCs w:val="24"/>
        </w:rPr>
        <w:t>לא</w:t>
      </w:r>
      <w:r>
        <w:rPr>
          <w:b w:val="0"/>
          <w:sz w:val="24"/>
          <w:u w:val="none"/>
          <w:rtl/>
          <w:szCs w:val="24"/>
        </w:rPr>
        <w:t xml:space="preserve"> השתנה? מה זה מלמד על המספרת? (4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6. </w:t>
      </w:r>
      <w:r>
        <w:drawing>
          <wp:inline xmlns:a="http://schemas.openxmlformats.org/drawingml/2006/main" xmlns:pic="http://schemas.openxmlformats.org/drawingml/2006/picture">
            <wp:extent cx="160020" cy="16002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פסקה 3 – מטאפורה מורחבת. </w:t>
      </w:r>
      <w:r>
        <w:rPr>
          <w:b w:val="0"/>
          <w:color w:val="7A5B00"/>
          <w:sz w:val="19"/>
          <w:u w:val="none"/>
          <w:rtl/>
          <w:szCs w:val="19"/>
        </w:rPr>
        <w:t>(8 נק׳)</w:t>
      </w:r>
    </w:p>
    <w:p>
      <w:pPr>
        <w:bidi/>
        <w:spacing w:before="0" w:after="40"/>
      </w:pPr>
      <w:r>
        <w:rPr>
          <w:b w:val="0"/>
          <w:sz w:val="24"/>
          <w:u w:val="none"/>
          <w:rtl/>
          <w:szCs w:val="24"/>
        </w:rPr>
        <w:t>א. מהי המטאפורה המרכזית שעליה בנויה הפסקה? (2 נק׳)</w:t>
      </w: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w:t>
      </w:r>
      <w:r>
        <w:rPr>
          <w:b/>
          <w:sz w:val="24"/>
          <w:u w:val="none"/>
          <w:rtl/>
          <w:bCs/>
          <w:szCs w:val="24"/>
        </w:rPr>
        <w:t>השלימו</w:t>
      </w:r>
      <w:r>
        <w:rPr>
          <w:b w:val="0"/>
          <w:sz w:val="24"/>
          <w:u w:val="none"/>
          <w:rtl/>
          <w:szCs w:val="24"/>
        </w:rPr>
        <w:t xml:space="preserve"> בטבלה: למה מתאים כל פרט מעולם הים במציאות של המספרת? (4 נק׳ – 1 לכל שורה)</w:t>
      </w:r>
    </w:p>
    <w:tbl>
      <w:tblPr>
        <w:tblStyle w:val="TableGrid"/>
        <w:tblW w:type="auto" w:w="0"/>
        <w:jc w:val="center"/>
        <w:tblLayout w:type="fixed"/>
        <w:tblLook w:firstColumn="1" w:firstRow="1" w:lastColumn="0" w:lastRow="0" w:noHBand="0" w:noVBand="1" w:val="04A0"/>
        <w:bidiVisual/>
        <w:tblLayout w:type="fixed"/>
      </w:tblPr>
      <w:tblGrid>
        <w:gridCol w:w="3969"/>
        <w:gridCol w:w="6123"/>
      </w:tblGrid>
      <w:tr>
        <w:trPr>
          <w:cantSplit/>
        </w:trPr>
        <w:tc>
          <w:tcPr>
            <w:tcW w:type="dxa" w:w="3969"/>
            <w:shd w:val="clear" w:color="auto" w:fill="EEF2FB"/>
          </w:tcPr>
          <w:p>
            <w:pPr>
              <w:bidi/>
              <w:spacing w:after="20" w:before="20"/>
            </w:pPr>
            <w:r>
              <w:rPr>
                <w:b/>
                <w:sz w:val="22"/>
                <w:u w:val="none"/>
                <w:rtl/>
                <w:bCs/>
                <w:szCs w:val="22"/>
              </w:rPr>
              <w:t>מעולם הים</w:t>
            </w:r>
          </w:p>
        </w:tc>
        <w:tc>
          <w:tcPr>
            <w:tcW w:type="dxa" w:w="6123"/>
            <w:shd w:val="clear" w:color="auto" w:fill="EEF2FB"/>
          </w:tcPr>
          <w:p>
            <w:pPr>
              <w:bidi/>
              <w:spacing w:after="20" w:before="20"/>
            </w:pPr>
            <w:r>
              <w:rPr>
                <w:b/>
                <w:sz w:val="22"/>
                <w:u w:val="none"/>
                <w:rtl/>
                <w:bCs/>
                <w:szCs w:val="22"/>
              </w:rPr>
              <w:t>במציאות – בכיתה</w:t>
            </w:r>
          </w:p>
        </w:tc>
      </w:tr>
      <w:tr>
        <w:trPr>
          <w:cantSplit/>
          <w:trHeight w:val="624"/>
        </w:trPr>
        <w:tc>
          <w:tcPr>
            <w:tcW w:type="dxa" w:w="3969"/>
          </w:tcPr>
          <w:p>
            <w:pPr>
              <w:bidi/>
              <w:spacing w:after="20" w:before="20"/>
            </w:pPr>
            <w:r>
              <w:rPr>
                <w:b w:val="0"/>
                <w:sz w:val="22"/>
                <w:u w:val="none"/>
                <w:rtl/>
                <w:szCs w:val="22"/>
              </w:rPr>
              <w:t>גלים של צחוק</w:t>
            </w:r>
          </w:p>
        </w:tc>
        <w:tc>
          <w:tcPr>
            <w:tcW w:type="dxa" w:w="6123"/>
          </w:tcPr>
          <w:p>
            <w:pPr>
              <w:bidi/>
              <w:spacing w:after="20" w:before="20"/>
            </w:pPr>
          </w:p>
        </w:tc>
      </w:tr>
      <w:tr>
        <w:trPr>
          <w:cantSplit/>
          <w:trHeight w:val="624"/>
        </w:trPr>
        <w:tc>
          <w:tcPr>
            <w:tcW w:type="dxa" w:w="3969"/>
          </w:tcPr>
          <w:p>
            <w:pPr>
              <w:bidi/>
              <w:spacing w:after="20" w:before="20"/>
            </w:pPr>
            <w:r>
              <w:rPr>
                <w:b w:val="0"/>
                <w:sz w:val="22"/>
                <w:u w:val="none"/>
                <w:rtl/>
                <w:szCs w:val="22"/>
              </w:rPr>
              <w:t>משבי לחישות</w:t>
            </w:r>
          </w:p>
        </w:tc>
        <w:tc>
          <w:tcPr>
            <w:tcW w:type="dxa" w:w="6123"/>
          </w:tcPr>
          <w:p>
            <w:pPr>
              <w:bidi/>
              <w:spacing w:after="20" w:before="20"/>
            </w:pPr>
          </w:p>
        </w:tc>
      </w:tr>
      <w:tr>
        <w:trPr>
          <w:cantSplit/>
          <w:trHeight w:val="624"/>
        </w:trPr>
        <w:tc>
          <w:tcPr>
            <w:tcW w:type="dxa" w:w="3969"/>
          </w:tcPr>
          <w:p>
            <w:pPr>
              <w:bidi/>
              <w:spacing w:after="20" w:before="20"/>
            </w:pPr>
            <w:r>
              <w:rPr>
                <w:b w:val="0"/>
                <w:sz w:val="22"/>
                <w:u w:val="none"/>
                <w:rtl/>
                <w:szCs w:val="22"/>
              </w:rPr>
              <w:t>נמל</w:t>
            </w:r>
          </w:p>
        </w:tc>
        <w:tc>
          <w:tcPr>
            <w:tcW w:type="dxa" w:w="6123"/>
          </w:tcPr>
          <w:p>
            <w:pPr>
              <w:bidi/>
              <w:spacing w:after="20" w:before="20"/>
            </w:pPr>
          </w:p>
        </w:tc>
      </w:tr>
      <w:tr>
        <w:trPr>
          <w:cantSplit/>
          <w:trHeight w:val="624"/>
        </w:trPr>
        <w:tc>
          <w:tcPr>
            <w:tcW w:type="dxa" w:w="3969"/>
          </w:tcPr>
          <w:p>
            <w:pPr>
              <w:bidi/>
              <w:spacing w:after="20" w:before="20"/>
            </w:pPr>
            <w:r>
              <w:rPr>
                <w:b w:val="0"/>
                <w:sz w:val="22"/>
                <w:u w:val="none"/>
                <w:rtl/>
                <w:szCs w:val="22"/>
              </w:rPr>
              <w:t>חופים תפוסים</w:t>
            </w:r>
          </w:p>
        </w:tc>
        <w:tc>
          <w:tcPr>
            <w:tcW w:type="dxa" w:w="6123"/>
          </w:tcPr>
          <w:p>
            <w:pPr>
              <w:bidi/>
              <w:spacing w:after="20" w:before="20"/>
            </w:pPr>
          </w:p>
        </w:tc>
      </w:tr>
    </w:tbl>
    <w:p>
      <w:pPr>
        <w:bidi/>
        <w:spacing w:before="0" w:after="40"/>
      </w:pPr>
    </w:p>
    <w:p>
      <w:pPr>
        <w:bidi/>
        <w:spacing w:before="0" w:after="40"/>
      </w:pPr>
      <w:r>
        <w:rPr>
          <w:b w:val="0"/>
          <w:sz w:val="24"/>
          <w:u w:val="none"/>
          <w:rtl/>
          <w:szCs w:val="24"/>
        </w:rPr>
        <w:t>ג. מדוע לדעתכם המספרת מתארת את עצמה כ</w:t>
      </w:r>
      <w:r>
        <w:rPr>
          <w:b/>
          <w:sz w:val="24"/>
          <w:u w:val="none"/>
          <w:rtl/>
          <w:bCs/>
          <w:szCs w:val="24"/>
        </w:rPr>
        <w:t>סירת נייר</w:t>
      </w:r>
      <w:r>
        <w:rPr>
          <w:b w:val="0"/>
          <w:sz w:val="24"/>
          <w:u w:val="none"/>
          <w:rtl/>
          <w:szCs w:val="24"/>
        </w:rPr>
        <w:t xml:space="preserve"> ולא סתם כסירה?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7. </w:t>
      </w:r>
      <w:r>
        <w:drawing>
          <wp:inline xmlns:a="http://schemas.openxmlformats.org/drawingml/2006/main" xmlns:pic="http://schemas.openxmlformats.org/drawingml/2006/picture">
            <wp:extent cx="160020" cy="160020"/>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פסקה 3. הסופרת כתבה "הכיתה </w:t>
      </w:r>
      <w:r>
        <w:rPr>
          <w:b/>
          <w:sz w:val="24"/>
          <w:u w:val="none"/>
          <w:rtl/>
          <w:bCs/>
          <w:szCs w:val="24"/>
        </w:rPr>
        <w:t>הייתה</w:t>
      </w:r>
      <w:r>
        <w:rPr>
          <w:b w:val="0"/>
          <w:sz w:val="24"/>
          <w:u w:val="none"/>
          <w:rtl/>
          <w:szCs w:val="24"/>
        </w:rPr>
        <w:t xml:space="preserve"> ים סוער" ולא "הכיתה הייתה </w:t>
      </w:r>
      <w:r>
        <w:rPr>
          <w:b/>
          <w:sz w:val="24"/>
          <w:u w:val="none"/>
          <w:rtl/>
          <w:bCs/>
          <w:szCs w:val="24"/>
        </w:rPr>
        <w:t>כמו</w:t>
      </w:r>
      <w:r>
        <w:rPr>
          <w:b w:val="0"/>
          <w:sz w:val="24"/>
          <w:u w:val="none"/>
          <w:rtl/>
          <w:szCs w:val="24"/>
        </w:rPr>
        <w:t xml:space="preserve"> ים סוער". </w:t>
      </w:r>
      <w:r>
        <w:rPr>
          <w:b w:val="0"/>
          <w:color w:val="7A5B00"/>
          <w:sz w:val="19"/>
          <w:u w:val="none"/>
          <w:rtl/>
          <w:szCs w:val="19"/>
        </w:rPr>
        <w:t>(5 נק׳)</w:t>
      </w:r>
    </w:p>
    <w:p>
      <w:pPr>
        <w:bidi/>
        <w:spacing w:before="0" w:after="40"/>
      </w:pPr>
      <w:r>
        <w:rPr>
          <w:b w:val="0"/>
          <w:sz w:val="24"/>
          <w:u w:val="none"/>
          <w:rtl/>
          <w:szCs w:val="24"/>
        </w:rPr>
        <w:t>א. מה סוג האמצעי בכל אחד משני הניסוחים? (1 נק׳)</w:t>
      </w: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מדוע לדעתכם בחרה הסופרת במטאפורה ולא בדימוי? </w:t>
      </w:r>
      <w:r>
        <w:rPr>
          <w:b/>
          <w:sz w:val="24"/>
          <w:u w:val="none"/>
          <w:rtl/>
          <w:bCs/>
          <w:szCs w:val="24"/>
        </w:rPr>
        <w:t>הסבירו</w:t>
      </w:r>
      <w:r>
        <w:rPr>
          <w:b w:val="0"/>
          <w:sz w:val="24"/>
          <w:u w:val="none"/>
          <w:rtl/>
          <w:szCs w:val="24"/>
        </w:rPr>
        <w:t xml:space="preserve"> את ההבדל ברושם שנוצר אצל הקורא. (4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8. </w:t>
      </w:r>
      <w:r>
        <w:drawing>
          <wp:inline xmlns:a="http://schemas.openxmlformats.org/drawingml/2006/main" xmlns:pic="http://schemas.openxmlformats.org/drawingml/2006/picture">
            <wp:extent cx="160020" cy="160020"/>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פסקה 4 – נקודת המפנה: "השמיים, שהתאפקו כל הבוקר, פרצו סוף־סוף בבכי." </w:t>
      </w:r>
      <w:r>
        <w:rPr>
          <w:b w:val="0"/>
          <w:color w:val="7A5B00"/>
          <w:sz w:val="19"/>
          <w:u w:val="none"/>
          <w:rtl/>
          <w:szCs w:val="19"/>
        </w:rPr>
        <w:t>(5 נק׳)</w:t>
      </w:r>
    </w:p>
    <w:p>
      <w:pPr>
        <w:bidi/>
        <w:spacing w:before="0" w:after="40"/>
      </w:pPr>
      <w:r>
        <w:rPr>
          <w:b w:val="0"/>
          <w:sz w:val="24"/>
          <w:u w:val="none"/>
          <w:rtl/>
          <w:szCs w:val="24"/>
        </w:rPr>
        <w:t>א. אילו פעולות או תכונות אנושיות ניתנו לשמיים? (2 נק׳)</w:t>
      </w: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w:t>
      </w:r>
      <w:r>
        <w:rPr>
          <w:b/>
          <w:sz w:val="24"/>
          <w:u w:val="none"/>
          <w:rtl/>
          <w:bCs/>
          <w:szCs w:val="24"/>
        </w:rPr>
        <w:t>הסבירו</w:t>
      </w:r>
      <w:r>
        <w:rPr>
          <w:b w:val="0"/>
          <w:sz w:val="24"/>
          <w:u w:val="none"/>
          <w:rtl/>
          <w:szCs w:val="24"/>
        </w:rPr>
        <w:t xml:space="preserve"> את הקשר בין מה שקורה לשמיים לבין מה שהמספרת מרגישה ועוברת בפסקה זו. (3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9. </w:t>
      </w:r>
      <w:r>
        <w:rPr>
          <w:b/>
          <w:sz w:val="24"/>
          <w:u w:val="none"/>
          <w:rtl/>
          <w:bCs/>
          <w:szCs w:val="24"/>
        </w:rPr>
        <w:t>השוו</w:t>
      </w:r>
      <w:r>
        <w:rPr>
          <w:b w:val="0"/>
          <w:sz w:val="24"/>
          <w:u w:val="none"/>
          <w:rtl/>
          <w:szCs w:val="24"/>
        </w:rPr>
        <w:t xml:space="preserve"> בין שני תיאורי הבניינים: </w:t>
      </w:r>
      <w:r>
        <w:rPr>
          <w:b w:val="0"/>
          <w:color w:val="7A5B00"/>
          <w:sz w:val="19"/>
          <w:u w:val="none"/>
          <w:rtl/>
          <w:szCs w:val="19"/>
        </w:rPr>
        <w:t>(6 נק׳)</w:t>
      </w:r>
    </w:p>
    <w:p>
      <w:pPr>
        <w:bidi/>
        <w:spacing w:before="0" w:after="40"/>
      </w:pPr>
      <w:r>
        <w:rPr>
          <w:b/>
          <w:sz w:val="24"/>
          <w:u w:val="none"/>
          <w:rtl/>
          <w:bCs/>
          <w:szCs w:val="24"/>
        </w:rPr>
        <w:t>"הבניינים הגבוהים הביטו בי מלמעלה בפנים חתומות, ואף אחד מהם לא אמר לי שלום" (פסקה 1)</w:t>
      </w:r>
    </w:p>
    <w:p>
      <w:pPr>
        <w:bidi/>
        <w:spacing w:before="0" w:after="40"/>
      </w:pPr>
      <w:r>
        <w:rPr>
          <w:b/>
          <w:sz w:val="24"/>
          <w:u w:val="none"/>
          <w:rtl/>
          <w:bCs/>
          <w:szCs w:val="24"/>
        </w:rPr>
        <w:t>"הבניינים... שטפו את פניהם בגשם וחייכו אליי בחלונות מוארים" (פסקה 5)</w:t>
      </w:r>
    </w:p>
    <w:p>
      <w:pPr>
        <w:bidi/>
        <w:spacing w:before="0" w:after="40"/>
      </w:pPr>
      <w:r>
        <w:rPr>
          <w:b w:val="0"/>
          <w:sz w:val="24"/>
          <w:u w:val="none"/>
          <w:rtl/>
          <w:szCs w:val="24"/>
        </w:rPr>
        <w:t>א. מהו האמצעי האומנותי המשותף לשני התיאורים? (1 נק׳)</w:t>
      </w:r>
    </w:p>
    <w:p>
      <w:pPr>
        <w:bidi/>
        <w:spacing w:before="120" w:after="0"/>
        <w:pBdr>
          <w:bottom w:val="single" w:sz="6" w:color="9AA3B5" w:space="1"/>
          <w:between w:val="single" w:sz="6" w:color="9AA3B5" w:space="1"/>
        </w:pBdr>
      </w:pPr>
    </w:p>
    <w:p>
      <w:pPr>
        <w:bidi/>
        <w:spacing w:before="0" w:after="40"/>
      </w:pPr>
      <w:r>
        <w:rPr>
          <w:b w:val="0"/>
          <w:sz w:val="24"/>
          <w:u w:val="none"/>
          <w:rtl/>
          <w:szCs w:val="24"/>
        </w:rPr>
        <w:t>ב. מה ההבדל בין היחס של הבניינים למספרת בפסקה 1 לבין היחס שלהם בפסקה 5?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ג. האם הבניינים באמת השתנו? </w:t>
      </w:r>
      <w:r>
        <w:rPr>
          <w:b/>
          <w:sz w:val="24"/>
          <w:u w:val="none"/>
          <w:rtl/>
          <w:bCs/>
          <w:szCs w:val="24"/>
        </w:rPr>
        <w:t>הסבירו</w:t>
      </w:r>
      <w:r>
        <w:rPr>
          <w:b w:val="0"/>
          <w:sz w:val="24"/>
          <w:u w:val="none"/>
          <w:rtl/>
          <w:szCs w:val="24"/>
        </w:rPr>
        <w:t xml:space="preserve"> מה השינוי בתיאורם מלמד על המספרת. (3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200" w:after="80"/>
        <w:shd w:val="clear" w:color="auto" w:fill="23336B"/>
      </w:pPr>
      <w:r>
        <w:rPr>
          <w:b/>
          <w:color w:val="FFFFFF"/>
          <w:sz w:val="28"/>
          <w:u w:val="none"/>
          <w:rtl/>
          <w:bCs/>
          <w:szCs w:val="28"/>
        </w:rPr>
        <w:t>חלק ד – חשיבה מסדר גבוה   (24 נק׳)</w:t>
      </w:r>
    </w:p>
    <w:p>
      <w:pPr>
        <w:keepNext/>
        <w:bidi/>
        <w:spacing w:before="160" w:after="40"/>
      </w:pPr>
      <w:r>
        <w:rPr>
          <w:b/>
          <w:color w:val="23336B"/>
          <w:sz w:val="24"/>
          <w:u w:val="none"/>
          <w:rtl/>
          <w:bCs/>
          <w:szCs w:val="24"/>
        </w:rPr>
        <w:t xml:space="preserve">10. </w:t>
      </w:r>
      <w:r>
        <w:drawing>
          <wp:inline xmlns:a="http://schemas.openxmlformats.org/drawingml/2006/main" xmlns:pic="http://schemas.openxmlformats.org/drawingml/2006/picture">
            <wp:extent cx="160020" cy="160020"/>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פסקה 4: "המטרייה הצהובה שלה נפתחה מעל ראשי כְּשֶׁמֶשׁ קטנה באמצע החורף." </w:t>
      </w:r>
      <w:r>
        <w:rPr>
          <w:b w:val="0"/>
          <w:color w:val="7A5B00"/>
          <w:sz w:val="19"/>
          <w:u w:val="none"/>
          <w:rtl/>
          <w:szCs w:val="19"/>
        </w:rPr>
        <w:t>(6 נק׳)</w:t>
      </w:r>
    </w:p>
    <w:p>
      <w:pPr>
        <w:bidi/>
        <w:spacing w:before="0" w:after="40"/>
      </w:pPr>
      <w:r>
        <w:rPr>
          <w:b w:val="0"/>
          <w:sz w:val="24"/>
          <w:u w:val="none"/>
          <w:rtl/>
          <w:szCs w:val="24"/>
        </w:rPr>
        <w:t xml:space="preserve">א. </w:t>
      </w:r>
      <w:r>
        <w:rPr>
          <w:b/>
          <w:sz w:val="24"/>
          <w:u w:val="none"/>
          <w:rtl/>
          <w:bCs/>
          <w:szCs w:val="24"/>
        </w:rPr>
        <w:t>כתבו</w:t>
      </w:r>
      <w:r>
        <w:rPr>
          <w:b w:val="0"/>
          <w:sz w:val="24"/>
          <w:u w:val="none"/>
          <w:rtl/>
          <w:szCs w:val="24"/>
        </w:rPr>
        <w:t xml:space="preserve"> את המשפט מחדש </w:t>
      </w:r>
      <w:r>
        <w:rPr>
          <w:b/>
          <w:sz w:val="24"/>
          <w:u w:val="none"/>
          <w:rtl/>
          <w:bCs/>
          <w:szCs w:val="24"/>
        </w:rPr>
        <w:t>בלי</w:t>
      </w:r>
      <w:r>
        <w:rPr>
          <w:b w:val="0"/>
          <w:sz w:val="24"/>
          <w:u w:val="none"/>
          <w:rtl/>
          <w:szCs w:val="24"/>
        </w:rPr>
        <w:t xml:space="preserve"> הדימוי. (2 נק׳)</w:t>
      </w: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מה אבד? </w:t>
      </w:r>
      <w:r>
        <w:rPr>
          <w:b/>
          <w:sz w:val="24"/>
          <w:u w:val="none"/>
          <w:rtl/>
          <w:bCs/>
          <w:szCs w:val="24"/>
        </w:rPr>
        <w:t>הסבירו</w:t>
      </w:r>
      <w:r>
        <w:rPr>
          <w:b w:val="0"/>
          <w:sz w:val="24"/>
          <w:u w:val="none"/>
          <w:rtl/>
          <w:szCs w:val="24"/>
        </w:rPr>
        <w:t xml:space="preserve"> שני דברים שהדימוי מוסיף לסיפור. (4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11. </w:t>
      </w:r>
      <w:r>
        <w:rPr>
          <w:b w:val="0"/>
          <w:sz w:val="24"/>
          <w:u w:val="none"/>
          <w:rtl/>
          <w:szCs w:val="24"/>
        </w:rPr>
        <w:t>דימויים ומטאפורות מ</w:t>
      </w:r>
      <w:r>
        <w:rPr>
          <w:b/>
          <w:sz w:val="24"/>
          <w:u w:val="none"/>
          <w:rtl/>
          <w:bCs/>
          <w:szCs w:val="24"/>
        </w:rPr>
        <w:t>עולם הים</w:t>
      </w:r>
      <w:r>
        <w:rPr>
          <w:b w:val="0"/>
          <w:sz w:val="24"/>
          <w:u w:val="none"/>
          <w:rtl/>
          <w:szCs w:val="24"/>
        </w:rPr>
        <w:t xml:space="preserve"> מופיעים גם מחוץ לפסקה 3. </w:t>
      </w:r>
      <w:r>
        <w:rPr>
          <w:b w:val="0"/>
          <w:color w:val="7A5B00"/>
          <w:sz w:val="19"/>
          <w:u w:val="none"/>
          <w:rtl/>
          <w:szCs w:val="19"/>
        </w:rPr>
        <w:t>(6 נק׳)</w:t>
      </w:r>
    </w:p>
    <w:p>
      <w:pPr>
        <w:bidi/>
        <w:spacing w:before="0" w:after="40"/>
      </w:pPr>
      <w:r>
        <w:rPr>
          <w:b w:val="0"/>
          <w:sz w:val="24"/>
          <w:u w:val="none"/>
          <w:rtl/>
          <w:szCs w:val="24"/>
        </w:rPr>
        <w:t xml:space="preserve">א. </w:t>
      </w:r>
      <w:r>
        <w:rPr>
          <w:b/>
          <w:sz w:val="24"/>
          <w:u w:val="none"/>
          <w:rtl/>
          <w:bCs/>
          <w:szCs w:val="24"/>
        </w:rPr>
        <w:t>מצאו</w:t>
      </w:r>
      <w:r>
        <w:rPr>
          <w:b w:val="0"/>
          <w:sz w:val="24"/>
          <w:u w:val="none"/>
          <w:rtl/>
          <w:szCs w:val="24"/>
        </w:rPr>
        <w:t xml:space="preserve"> שני אמצעים כאלה </w:t>
      </w:r>
      <w:r>
        <w:rPr>
          <w:b/>
          <w:sz w:val="24"/>
          <w:u w:val="none"/>
          <w:rtl/>
          <w:bCs/>
          <w:szCs w:val="24"/>
        </w:rPr>
        <w:t>מחוץ לפסקה 3</w:t>
      </w:r>
      <w:r>
        <w:rPr>
          <w:b w:val="0"/>
          <w:sz w:val="24"/>
          <w:u w:val="none"/>
          <w:rtl/>
          <w:szCs w:val="24"/>
        </w:rPr>
        <w:t>. ציינו את מספר הפסקה ואת סוג האמצעי. (2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0" w:after="40"/>
      </w:pPr>
      <w:r>
        <w:rPr>
          <w:b w:val="0"/>
          <w:sz w:val="24"/>
          <w:u w:val="none"/>
          <w:rtl/>
          <w:szCs w:val="24"/>
        </w:rPr>
        <w:t xml:space="preserve">ב. </w:t>
      </w:r>
      <w:r>
        <w:rPr>
          <w:b/>
          <w:sz w:val="24"/>
          <w:u w:val="none"/>
          <w:rtl/>
          <w:bCs/>
          <w:szCs w:val="24"/>
        </w:rPr>
        <w:t>הסבירו</w:t>
      </w:r>
      <w:r>
        <w:rPr>
          <w:b w:val="0"/>
          <w:sz w:val="24"/>
          <w:u w:val="none"/>
          <w:rtl/>
          <w:szCs w:val="24"/>
        </w:rPr>
        <w:t xml:space="preserve"> כיצד המשפט "המטרייה הצהובה הזאת היא הנמל שחיפשתי" (פסקה 4) קשור למטאפורה המורחבת בפסקה 3, ומדוע הוא מסמן את נקודת המפנה בסיפור. (4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12. </w:t>
      </w:r>
      <w:r>
        <w:drawing>
          <wp:inline xmlns:a="http://schemas.openxmlformats.org/drawingml/2006/main" xmlns:pic="http://schemas.openxmlformats.org/drawingml/2006/picture">
            <wp:extent cx="160020" cy="160020"/>
            <wp:docPr id="8" name="Picture 8"/>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60020" cy="160020"/>
                    </a:xfrm>
                    <a:prstGeom prst="rect"/>
                  </pic:spPr>
                </pic:pic>
              </a:graphicData>
            </a:graphic>
          </wp:inline>
        </w:drawing>
      </w:r>
      <w:r>
        <w:rPr>
          <w:b w:val="0"/>
          <w:sz w:val="24"/>
          <w:u w:val="none"/>
          <w:rtl/>
          <w:szCs w:val="24"/>
        </w:rPr>
        <w:t xml:space="preserve"> פסקה 5: "מאז, הגשם הוא חבר ותיק שלי." יואב טוען שזו </w:t>
      </w:r>
      <w:r>
        <w:rPr>
          <w:b/>
          <w:sz w:val="24"/>
          <w:u w:val="none"/>
          <w:rtl/>
          <w:bCs/>
          <w:szCs w:val="24"/>
        </w:rPr>
        <w:t>מטאפורה</w:t>
      </w:r>
      <w:r>
        <w:rPr>
          <w:b w:val="0"/>
          <w:sz w:val="24"/>
          <w:u w:val="none"/>
          <w:rtl/>
          <w:szCs w:val="24"/>
        </w:rPr>
        <w:t xml:space="preserve">. נועה טוענת שזו </w:t>
      </w:r>
      <w:r>
        <w:rPr>
          <w:b/>
          <w:sz w:val="24"/>
          <w:u w:val="none"/>
          <w:rtl/>
          <w:bCs/>
          <w:szCs w:val="24"/>
        </w:rPr>
        <w:t>האנשה</w:t>
      </w:r>
      <w:r>
        <w:rPr>
          <w:b w:val="0"/>
          <w:sz w:val="24"/>
          <w:u w:val="none"/>
          <w:rtl/>
          <w:szCs w:val="24"/>
        </w:rPr>
        <w:t xml:space="preserve">. מי צודק? </w:t>
      </w:r>
      <w:r>
        <w:rPr>
          <w:b/>
          <w:sz w:val="24"/>
          <w:u w:val="none"/>
          <w:rtl/>
          <w:bCs/>
          <w:szCs w:val="24"/>
        </w:rPr>
        <w:t>נמקו</w:t>
      </w:r>
      <w:r>
        <w:rPr>
          <w:b w:val="0"/>
          <w:sz w:val="24"/>
          <w:u w:val="none"/>
          <w:rtl/>
          <w:szCs w:val="24"/>
        </w:rPr>
        <w:t xml:space="preserve">. </w:t>
      </w:r>
      <w:r>
        <w:rPr>
          <w:b w:val="0"/>
          <w:color w:val="7A5B00"/>
          <w:sz w:val="19"/>
          <w:u w:val="none"/>
          <w:rtl/>
          <w:szCs w:val="19"/>
        </w:rPr>
        <w:t>(4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160" w:after="40"/>
      </w:pPr>
      <w:r>
        <w:rPr>
          <w:b/>
          <w:color w:val="23336B"/>
          <w:sz w:val="24"/>
          <w:u w:val="none"/>
          <w:rtl/>
          <w:bCs/>
          <w:szCs w:val="24"/>
        </w:rPr>
        <w:t xml:space="preserve">13. </w:t>
      </w:r>
      <w:r>
        <w:rPr>
          <w:b/>
          <w:sz w:val="24"/>
          <w:u w:val="none"/>
          <w:rtl/>
          <w:bCs/>
          <w:szCs w:val="24"/>
        </w:rPr>
        <w:t>כתבו פסקת ניתוח</w:t>
      </w:r>
      <w:r>
        <w:rPr>
          <w:b w:val="0"/>
          <w:sz w:val="24"/>
          <w:u w:val="none"/>
          <w:rtl/>
          <w:szCs w:val="24"/>
        </w:rPr>
        <w:t xml:space="preserve"> (6–8 שורות): כיצד האמצעים האומנותיים בקטע מבטאים את השינוי ברגשותיה של המספרת – מבדידות לשייכות? </w:t>
      </w:r>
      <w:r>
        <w:rPr>
          <w:b w:val="0"/>
          <w:color w:val="7A5B00"/>
          <w:sz w:val="19"/>
          <w:u w:val="none"/>
          <w:rtl/>
          <w:szCs w:val="19"/>
        </w:rPr>
        <w:t>(8 נק׳)</w:t>
      </w:r>
    </w:p>
    <w:p>
      <w:pPr>
        <w:bidi/>
        <w:spacing w:before="0" w:after="60"/>
      </w:pPr>
      <w:r>
        <w:drawing>
          <wp:inline xmlns:a="http://schemas.openxmlformats.org/drawingml/2006/main" xmlns:pic="http://schemas.openxmlformats.org/drawingml/2006/picture">
            <wp:extent cx="140017" cy="140017"/>
            <wp:docPr id="9" name="Picture 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0017" cy="140017"/>
                    </a:xfrm>
                    <a:prstGeom prst="rect"/>
                  </pic:spPr>
                </pic:pic>
              </a:graphicData>
            </a:graphic>
          </wp:inline>
        </w:drawing>
      </w:r>
      <w:r>
        <w:rPr>
          <w:b w:val="0"/>
          <w:color w:val="1F5B43"/>
          <w:sz w:val="21"/>
          <w:u w:val="none"/>
          <w:rtl/>
          <w:szCs w:val="21"/>
        </w:rPr>
        <w:t xml:space="preserve"> מבנה הפסקה: </w:t>
      </w:r>
      <w:r>
        <w:rPr>
          <w:b/>
          <w:color w:val="1F5B43"/>
          <w:sz w:val="21"/>
          <w:u w:val="none"/>
          <w:rtl/>
          <w:bCs/>
          <w:szCs w:val="21"/>
        </w:rPr>
        <w:t>טענה</w:t>
      </w:r>
      <w:r>
        <w:rPr>
          <w:b w:val="0"/>
          <w:color w:val="1F5B43"/>
          <w:sz w:val="21"/>
          <w:u w:val="none"/>
          <w:rtl/>
          <w:szCs w:val="21"/>
        </w:rPr>
        <w:t xml:space="preserve"> ← </w:t>
      </w:r>
      <w:r>
        <w:rPr>
          <w:b/>
          <w:color w:val="1F5B43"/>
          <w:sz w:val="21"/>
          <w:u w:val="none"/>
          <w:rtl/>
          <w:bCs/>
          <w:szCs w:val="21"/>
        </w:rPr>
        <w:t>דוגמה 1</w:t>
      </w:r>
      <w:r>
        <w:rPr>
          <w:b w:val="0"/>
          <w:color w:val="1F5B43"/>
          <w:sz w:val="21"/>
          <w:u w:val="none"/>
          <w:rtl/>
          <w:szCs w:val="21"/>
        </w:rPr>
        <w:t xml:space="preserve"> (ציטוט + פסקה + סוג האמצעי) והסבר ← </w:t>
      </w:r>
      <w:r>
        <w:rPr>
          <w:b/>
          <w:color w:val="1F5B43"/>
          <w:sz w:val="21"/>
          <w:u w:val="none"/>
          <w:rtl/>
          <w:bCs/>
          <w:szCs w:val="21"/>
        </w:rPr>
        <w:t>דוגמה 2</w:t>
      </w:r>
      <w:r>
        <w:rPr>
          <w:b w:val="0"/>
          <w:color w:val="1F5B43"/>
          <w:sz w:val="21"/>
          <w:u w:val="none"/>
          <w:rtl/>
          <w:szCs w:val="21"/>
        </w:rPr>
        <w:t xml:space="preserve"> מסוג אחר של אמצעי, והסבר ← </w:t>
      </w:r>
      <w:r>
        <w:rPr>
          <w:b/>
          <w:color w:val="1F5B43"/>
          <w:sz w:val="21"/>
          <w:u w:val="none"/>
          <w:rtl/>
          <w:bCs/>
          <w:szCs w:val="21"/>
        </w:rPr>
        <w:t>משפט סיכום</w:t>
      </w:r>
      <w:r>
        <w:rPr>
          <w:b w:val="0"/>
          <w:color w:val="1F5B43"/>
          <w:sz w:val="21"/>
          <w:u w:val="none"/>
          <w:rtl/>
          <w:szCs w:val="21"/>
        </w:rPr>
        <w:t>.</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keepNext/>
        <w:bidi/>
        <w:spacing w:before="200" w:after="80"/>
        <w:shd w:val="clear" w:color="auto" w:fill="23336B"/>
      </w:pPr>
      <w:r>
        <w:rPr>
          <w:b/>
          <w:color w:val="FFFFFF"/>
          <w:sz w:val="28"/>
          <w:u w:val="none"/>
          <w:rtl/>
          <w:bCs/>
          <w:szCs w:val="28"/>
        </w:rPr>
        <w:t>חלק ה – כתיבה יוצרת   (14 נק׳)</w:t>
      </w:r>
    </w:p>
    <w:p>
      <w:pPr>
        <w:keepNext/>
        <w:bidi/>
        <w:spacing w:before="160" w:after="40"/>
      </w:pPr>
      <w:r>
        <w:rPr>
          <w:b/>
          <w:color w:val="23336B"/>
          <w:sz w:val="24"/>
          <w:u w:val="none"/>
          <w:rtl/>
          <w:bCs/>
          <w:szCs w:val="24"/>
        </w:rPr>
        <w:t xml:space="preserve">14. </w:t>
      </w:r>
      <w:r>
        <w:rPr>
          <w:b/>
          <w:sz w:val="24"/>
          <w:u w:val="none"/>
          <w:rtl/>
          <w:bCs/>
          <w:szCs w:val="24"/>
        </w:rPr>
        <w:t>המשיכו את הסיפור:</w:t>
      </w:r>
      <w:r>
        <w:rPr>
          <w:b w:val="0"/>
          <w:sz w:val="24"/>
          <w:u w:val="none"/>
          <w:rtl/>
          <w:szCs w:val="24"/>
        </w:rPr>
        <w:t xml:space="preserve"> כתבו פסקה (5–7 שורות) על היום שאחרי – המספרת ותמר בבית הספר. השתמשו לפחות ב</w:t>
      </w:r>
      <w:r>
        <w:rPr>
          <w:b/>
          <w:sz w:val="24"/>
          <w:u w:val="none"/>
          <w:rtl/>
          <w:bCs/>
          <w:szCs w:val="24"/>
        </w:rPr>
        <w:t>דימוי</w:t>
      </w:r>
      <w:r>
        <w:rPr>
          <w:b w:val="0"/>
          <w:sz w:val="24"/>
          <w:u w:val="none"/>
          <w:rtl/>
          <w:szCs w:val="24"/>
        </w:rPr>
        <w:t xml:space="preserve"> אחד, ב</w:t>
      </w:r>
      <w:r>
        <w:rPr>
          <w:b/>
          <w:sz w:val="24"/>
          <w:u w:val="none"/>
          <w:rtl/>
          <w:bCs/>
          <w:szCs w:val="24"/>
        </w:rPr>
        <w:t>מטאפורה</w:t>
      </w:r>
      <w:r>
        <w:rPr>
          <w:b w:val="0"/>
          <w:sz w:val="24"/>
          <w:u w:val="none"/>
          <w:rtl/>
          <w:szCs w:val="24"/>
        </w:rPr>
        <w:t xml:space="preserve"> אחת וב</w:t>
      </w:r>
      <w:r>
        <w:rPr>
          <w:b/>
          <w:sz w:val="24"/>
          <w:u w:val="none"/>
          <w:rtl/>
          <w:bCs/>
          <w:szCs w:val="24"/>
        </w:rPr>
        <w:t>האנשה</w:t>
      </w:r>
      <w:r>
        <w:rPr>
          <w:b w:val="0"/>
          <w:sz w:val="24"/>
          <w:u w:val="none"/>
          <w:rtl/>
          <w:szCs w:val="24"/>
        </w:rPr>
        <w:t xml:space="preserve"> אחת. </w:t>
      </w:r>
      <w:r>
        <w:rPr>
          <w:b/>
          <w:sz w:val="24"/>
          <w:u w:val="none"/>
          <w:rtl/>
          <w:bCs/>
          <w:szCs w:val="24"/>
        </w:rPr>
        <w:t>מתחו קו</w:t>
      </w:r>
      <w:r>
        <w:rPr>
          <w:b w:val="0"/>
          <w:sz w:val="24"/>
          <w:u w:val="none"/>
          <w:rtl/>
          <w:szCs w:val="24"/>
        </w:rPr>
        <w:t xml:space="preserve"> מתחת לכל אמצעי, וכתבו מעליו: ד / מ / ה. </w:t>
      </w:r>
      <w:r>
        <w:rPr>
          <w:b w:val="0"/>
          <w:color w:val="7A5B00"/>
          <w:sz w:val="19"/>
          <w:u w:val="none"/>
          <w:rtl/>
          <w:szCs w:val="19"/>
        </w:rPr>
        <w:t>(14 נק׳)</w:t>
      </w: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p>
      <w:pPr>
        <w:bidi/>
        <w:spacing w:before="120" w:after="0"/>
        <w:pBdr>
          <w:bottom w:val="single" w:sz="6" w:color="9AA3B5" w:space="1"/>
          <w:between w:val="single" w:sz="6" w:color="9AA3B5" w:space="1"/>
        </w:pBdr>
      </w:pP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E0A32E"/>
              <w:left w:val="single" w:sz="12" w:color="E0A32E"/>
              <w:bottom w:val="single" w:sz="12" w:color="E0A32E"/>
              <w:right w:val="single" w:sz="12" w:color="E0A32E"/>
            </w:tcBorders>
            <w:shd w:val="clear" w:color="auto" w:fill="FFF8E6"/>
          </w:tcPr>
          <w:p>
            <w:pPr>
              <w:bidi/>
              <w:spacing w:after="40"/>
            </w:pPr>
            <w:r>
              <w:rPr>
                <w:b/>
                <w:color w:val="7A5B00"/>
                <w:sz w:val="24"/>
                <w:u w:val="none"/>
                <w:rtl/>
                <w:bCs/>
                <w:szCs w:val="24"/>
              </w:rPr>
              <w:t>★ בונוס (רשות) – 5 נק׳</w:t>
            </w:r>
          </w:p>
          <w:p>
            <w:pPr>
              <w:bidi/>
              <w:spacing w:after="40"/>
            </w:pPr>
            <w:r>
              <w:rPr>
                <w:b w:val="0"/>
                <w:sz w:val="24"/>
                <w:u w:val="none"/>
                <w:rtl/>
                <w:szCs w:val="24"/>
              </w:rPr>
              <w:t xml:space="preserve">הציעו </w:t>
            </w:r>
            <w:r>
              <w:rPr>
                <w:b/>
                <w:sz w:val="24"/>
                <w:u w:val="none"/>
                <w:rtl/>
                <w:bCs/>
                <w:szCs w:val="24"/>
              </w:rPr>
              <w:t>כותרת אחרת</w:t>
            </w:r>
            <w:r>
              <w:rPr>
                <w:b w:val="0"/>
                <w:sz w:val="24"/>
                <w:u w:val="none"/>
                <w:rtl/>
                <w:szCs w:val="24"/>
              </w:rPr>
              <w:t xml:space="preserve"> לסיפור, המבוססת על אחד האמצעים האומנותיים שבו. ציינו את סוג האמצעי, </w:t>
            </w:r>
            <w:r>
              <w:rPr>
                <w:b/>
                <w:sz w:val="24"/>
                <w:u w:val="none"/>
                <w:rtl/>
                <w:bCs/>
                <w:szCs w:val="24"/>
              </w:rPr>
              <w:t>והסבירו</w:t>
            </w:r>
            <w:r>
              <w:rPr>
                <w:b w:val="0"/>
                <w:sz w:val="24"/>
                <w:u w:val="none"/>
                <w:rtl/>
                <w:szCs w:val="24"/>
              </w:rPr>
              <w:t xml:space="preserve"> מדוע הכותרת מתאימה לסיפור.</w:t>
            </w:r>
          </w:p>
          <w:p>
            <w:pPr>
              <w:bidi/>
              <w:spacing w:before="160"/>
              <w:pBdr>
                <w:bottom w:val="single" w:sz="6" w:color="9AA3B5" w:space="1"/>
                <w:between w:val="single" w:sz="6" w:color="9AA3B5" w:space="1"/>
              </w:pBdr>
            </w:pPr>
          </w:p>
          <w:p>
            <w:pPr>
              <w:bidi/>
              <w:spacing w:before="160"/>
              <w:pBdr>
                <w:bottom w:val="single" w:sz="6" w:color="9AA3B5" w:space="1"/>
                <w:between w:val="single" w:sz="6" w:color="9AA3B5" w:space="1"/>
              </w:pBdr>
            </w:pPr>
          </w:p>
        </w:tc>
      </w:tr>
    </w:tbl>
    <w:p>
      <w:pPr>
        <w:bidi/>
        <w:spacing w:before="0" w:after="0"/>
      </w:pPr>
    </w:p>
    <w:p>
      <w:r>
        <w:br w:type="page"/>
      </w:r>
    </w:p>
    <w:p>
      <w:pPr>
        <w:bidi/>
        <w:spacing w:before="0" w:after="80"/>
        <w:jc w:val="center"/>
      </w:pPr>
      <w:r>
        <w:rPr>
          <w:b/>
          <w:color w:val="B5432F"/>
          <w:sz w:val="32"/>
          <w:u w:val="none"/>
          <w:rtl/>
          <w:bCs/>
          <w:szCs w:val="32"/>
        </w:rPr>
        <w:t>מחוון למורה – מבחן בספרות – אמצעים אומנותיים: דימוי, האנשה ומטאפורה (מבחן על קטע)</w:t>
      </w:r>
    </w:p>
    <w:p>
      <w:pPr>
        <w:bidi/>
        <w:spacing w:before="0" w:after="40"/>
      </w:pPr>
      <w:r>
        <w:rPr>
          <w:b w:val="0"/>
          <w:sz w:val="24"/>
          <w:u w:val="none"/>
          <w:rtl/>
          <w:szCs w:val="24"/>
        </w:rPr>
        <w:t xml:space="preserve">ההגדרות לפי המקובל בבית הספר: </w:t>
      </w:r>
      <w:r>
        <w:rPr>
          <w:b/>
          <w:sz w:val="24"/>
          <w:u w:val="none"/>
          <w:rtl/>
          <w:bCs/>
          <w:szCs w:val="24"/>
        </w:rPr>
        <w:t>דימוי</w:t>
      </w:r>
      <w:r>
        <w:rPr>
          <w:b w:val="0"/>
          <w:sz w:val="24"/>
          <w:u w:val="none"/>
          <w:rtl/>
          <w:szCs w:val="24"/>
        </w:rPr>
        <w:t xml:space="preserve"> – השוואה גלויה בעזרת מילת דימוי; </w:t>
      </w:r>
      <w:r>
        <w:rPr>
          <w:b/>
          <w:sz w:val="24"/>
          <w:u w:val="none"/>
          <w:rtl/>
          <w:bCs/>
          <w:szCs w:val="24"/>
        </w:rPr>
        <w:t>מטאפורה</w:t>
      </w:r>
      <w:r>
        <w:rPr>
          <w:b w:val="0"/>
          <w:sz w:val="24"/>
          <w:u w:val="none"/>
          <w:rtl/>
          <w:szCs w:val="24"/>
        </w:rPr>
        <w:t xml:space="preserve"> – השוואה/העברת משמעות בלי מילת דימוי; </w:t>
      </w:r>
      <w:r>
        <w:rPr>
          <w:b/>
          <w:sz w:val="24"/>
          <w:u w:val="none"/>
          <w:rtl/>
          <w:bCs/>
          <w:szCs w:val="24"/>
        </w:rPr>
        <w:t>האנשה</w:t>
      </w:r>
      <w:r>
        <w:rPr>
          <w:b w:val="0"/>
          <w:sz w:val="24"/>
          <w:u w:val="none"/>
          <w:rtl/>
          <w:szCs w:val="24"/>
        </w:rPr>
        <w:t xml:space="preserve"> – ייחוס תכונות או פעולות אנושיות לדבר שאינו אדם. יש לקבל כל תשובה נכונה ומנומקת, גם אם ניסוחה שונה.</w:t>
      </w:r>
    </w:p>
    <w:p>
      <w:pPr>
        <w:keepNext/>
        <w:bidi/>
        <w:spacing w:before="160" w:after="40"/>
      </w:pPr>
      <w:r>
        <w:rPr>
          <w:b/>
          <w:color w:val="23336B"/>
          <w:sz w:val="26"/>
          <w:u w:val="none"/>
          <w:rtl/>
          <w:bCs/>
          <w:szCs w:val="26"/>
        </w:rPr>
        <w:t>חלק א – 10 נק׳</w:t>
      </w:r>
    </w:p>
    <w:p>
      <w:pPr>
        <w:bidi/>
        <w:spacing w:before="0" w:after="80"/>
      </w:pPr>
      <w:r>
        <w:rPr>
          <w:b/>
          <w:sz w:val="23"/>
          <w:u w:val="none"/>
          <w:rtl/>
          <w:bCs/>
          <w:szCs w:val="23"/>
        </w:rPr>
        <w:t>שאלה 1 (6):</w:t>
      </w:r>
      <w:r>
        <w:rPr>
          <w:b w:val="0"/>
          <w:sz w:val="23"/>
          <w:u w:val="none"/>
          <w:rtl/>
          <w:szCs w:val="23"/>
        </w:rPr>
        <w:t xml:space="preserve"> </w:t>
      </w:r>
      <w:r>
        <w:rPr>
          <w:b/>
          <w:sz w:val="23"/>
          <w:u w:val="none"/>
          <w:rtl/>
          <w:bCs/>
          <w:szCs w:val="23"/>
        </w:rPr>
        <w:t>דימוי</w:t>
      </w:r>
      <w:r>
        <w:rPr>
          <w:b w:val="0"/>
          <w:sz w:val="23"/>
          <w:u w:val="none"/>
          <w:rtl/>
          <w:szCs w:val="23"/>
        </w:rPr>
        <w:t xml:space="preserve"> – השוואה גלויה בין שני דברים שונים בעזרת מילת דימוי (כמו, כְּ־, כאילו, דומה ל־, כדמות). </w:t>
      </w:r>
      <w:r>
        <w:rPr>
          <w:b/>
          <w:sz w:val="23"/>
          <w:u w:val="none"/>
          <w:rtl/>
          <w:bCs/>
          <w:szCs w:val="23"/>
        </w:rPr>
        <w:t>מטאפורה</w:t>
      </w:r>
      <w:r>
        <w:rPr>
          <w:b w:val="0"/>
          <w:sz w:val="23"/>
          <w:u w:val="none"/>
          <w:rtl/>
          <w:szCs w:val="23"/>
        </w:rPr>
        <w:t xml:space="preserve"> – השוואה בלי מילת דימוי: מתארים דבר אחד במילים של דבר אחר, כאילו הוא הדבר עצמו. </w:t>
      </w:r>
      <w:r>
        <w:rPr>
          <w:b/>
          <w:sz w:val="23"/>
          <w:u w:val="none"/>
          <w:rtl/>
          <w:bCs/>
          <w:szCs w:val="23"/>
        </w:rPr>
        <w:t>האנשה</w:t>
      </w:r>
      <w:r>
        <w:rPr>
          <w:b w:val="0"/>
          <w:sz w:val="23"/>
          <w:u w:val="none"/>
          <w:rtl/>
          <w:szCs w:val="23"/>
        </w:rPr>
        <w:t xml:space="preserve"> – ייחוס תכונות, רגשות או פעולות של אדם לדבר שאינו אדם (דומם, צומח, בעל חיים או מושג). 2 נק׳ לכל הגדרה; 1 נק׳ להגדרה חלקית (למשל "השוואה" בלי ההבחנה במילת הדימוי).</w:t>
      </w:r>
    </w:p>
    <w:p>
      <w:pPr>
        <w:bidi/>
        <w:spacing w:before="0" w:after="80"/>
      </w:pPr>
      <w:r>
        <w:rPr>
          <w:b/>
          <w:sz w:val="23"/>
          <w:u w:val="none"/>
          <w:rtl/>
          <w:bCs/>
          <w:szCs w:val="23"/>
        </w:rPr>
        <w:t>שאלה 2 (4):</w:t>
      </w:r>
      <w:r>
        <w:rPr>
          <w:b w:val="0"/>
          <w:sz w:val="23"/>
          <w:u w:val="none"/>
          <w:rtl/>
          <w:szCs w:val="23"/>
        </w:rPr>
        <w:t xml:space="preserve"> המדומה · המדמה · מילת הדימוי · הצד השווה (יש לקבל גם "המכנה המשותף").</w:t>
      </w:r>
    </w:p>
    <w:p>
      <w:pPr>
        <w:keepNext/>
        <w:bidi/>
        <w:spacing w:before="160" w:after="40"/>
      </w:pPr>
      <w:r>
        <w:rPr>
          <w:b/>
          <w:color w:val="23336B"/>
          <w:sz w:val="26"/>
          <w:u w:val="none"/>
          <w:rtl/>
          <w:bCs/>
          <w:szCs w:val="26"/>
        </w:rPr>
        <w:t>חלק ב – 22 נק׳</w:t>
      </w:r>
    </w:p>
    <w:p>
      <w:pPr>
        <w:bidi/>
        <w:spacing w:before="0" w:after="80"/>
      </w:pPr>
      <w:r>
        <w:rPr>
          <w:b/>
          <w:sz w:val="23"/>
          <w:u w:val="none"/>
          <w:rtl/>
          <w:bCs/>
          <w:szCs w:val="23"/>
        </w:rPr>
        <w:t>שאלה 3 (10):</w:t>
      </w:r>
      <w:r>
        <w:rPr>
          <w:b w:val="0"/>
          <w:sz w:val="23"/>
          <w:u w:val="none"/>
          <w:rtl/>
          <w:szCs w:val="23"/>
        </w:rPr>
        <w:t xml:space="preserve"> א. "התלמידים זרמו סביבי כמו נחל שוצף סביב סלע" · ב. "הגעגועים היו אבן כבדה על החזה שלי" · ג. "השער הירוק של בית הספר פיהק לעברי בשעמום" · ד. "החיוך שלה נשאר רחוק, כמו מגדלור על חוף אחר" · ה. "השמיים, שהתאפקו כל הבוקר, פרצו סוף־סוף בבכי". (לכל סעיף יש בפסקה תשובה אחת בלבד. ציטוט חלקי שמכיל את עיקר האמצעי – מלוא הנקודות.)</w:t>
      </w:r>
    </w:p>
    <w:tbl>
      <w:tblPr>
        <w:tblStyle w:val="TableGrid"/>
        <w:tblW w:type="auto" w:w="0"/>
        <w:jc w:val="center"/>
        <w:tblLayout w:type="fixed"/>
        <w:tblLook w:firstColumn="1" w:firstRow="1" w:lastColumn="0" w:lastRow="0" w:noHBand="0" w:noVBand="1" w:val="04A0"/>
        <w:bidiVisual/>
        <w:tblLayout w:type="fixed"/>
      </w:tblPr>
      <w:tblGrid>
        <w:gridCol w:w="1009"/>
        <w:gridCol w:w="1413"/>
        <w:gridCol w:w="1716"/>
        <w:gridCol w:w="908"/>
        <w:gridCol w:w="5046"/>
      </w:tblGrid>
      <w:tr>
        <w:trPr>
          <w:cantSplit/>
        </w:trPr>
        <w:tc>
          <w:tcPr>
            <w:tcW w:type="dxa" w:w="1009"/>
            <w:shd w:val="clear" w:color="auto" w:fill="EEF2FB"/>
          </w:tcPr>
          <w:p>
            <w:pPr>
              <w:bidi/>
              <w:spacing w:after="20" w:before="20"/>
            </w:pPr>
            <w:r>
              <w:rPr>
                <w:b/>
                <w:sz w:val="22"/>
                <w:u w:val="none"/>
                <w:rtl/>
                <w:bCs/>
                <w:szCs w:val="22"/>
              </w:rPr>
              <w:t>הדימוי</w:t>
            </w:r>
          </w:p>
        </w:tc>
        <w:tc>
          <w:tcPr>
            <w:tcW w:type="dxa" w:w="1413"/>
            <w:shd w:val="clear" w:color="auto" w:fill="EEF2FB"/>
          </w:tcPr>
          <w:p>
            <w:pPr>
              <w:bidi/>
              <w:spacing w:after="20" w:before="20"/>
            </w:pPr>
            <w:r>
              <w:rPr>
                <w:b/>
                <w:sz w:val="22"/>
                <w:u w:val="none"/>
                <w:rtl/>
                <w:bCs/>
                <w:szCs w:val="22"/>
              </w:rPr>
              <w:t>המדומה</w:t>
            </w:r>
          </w:p>
        </w:tc>
        <w:tc>
          <w:tcPr>
            <w:tcW w:type="dxa" w:w="1716"/>
            <w:shd w:val="clear" w:color="auto" w:fill="EEF2FB"/>
          </w:tcPr>
          <w:p>
            <w:pPr>
              <w:bidi/>
              <w:spacing w:after="20" w:before="20"/>
            </w:pPr>
            <w:r>
              <w:rPr>
                <w:b/>
                <w:sz w:val="22"/>
                <w:u w:val="none"/>
                <w:rtl/>
                <w:bCs/>
                <w:szCs w:val="22"/>
              </w:rPr>
              <w:t>המדמה</w:t>
            </w:r>
          </w:p>
        </w:tc>
        <w:tc>
          <w:tcPr>
            <w:tcW w:type="dxa" w:w="908"/>
            <w:shd w:val="clear" w:color="auto" w:fill="EEF2FB"/>
          </w:tcPr>
          <w:p>
            <w:pPr>
              <w:bidi/>
              <w:spacing w:after="20" w:before="20"/>
            </w:pPr>
            <w:r>
              <w:rPr>
                <w:b/>
                <w:sz w:val="22"/>
                <w:u w:val="none"/>
                <w:rtl/>
                <w:bCs/>
                <w:szCs w:val="22"/>
              </w:rPr>
              <w:t>מילה</w:t>
            </w:r>
          </w:p>
        </w:tc>
        <w:tc>
          <w:tcPr>
            <w:tcW w:type="dxa" w:w="5046"/>
            <w:shd w:val="clear" w:color="auto" w:fill="EEF2FB"/>
          </w:tcPr>
          <w:p>
            <w:pPr>
              <w:bidi/>
              <w:spacing w:after="20" w:before="20"/>
            </w:pPr>
            <w:r>
              <w:rPr>
                <w:b/>
                <w:sz w:val="22"/>
                <w:u w:val="none"/>
                <w:rtl/>
                <w:bCs/>
                <w:szCs w:val="22"/>
              </w:rPr>
              <w:t>הצד השווה (דוגמאות לתשובות מקובלות)</w:t>
            </w:r>
          </w:p>
        </w:tc>
      </w:tr>
      <w:tr>
        <w:trPr>
          <w:cantSplit/>
          <w:trHeight w:val="624"/>
        </w:trPr>
        <w:tc>
          <w:tcPr>
            <w:tcW w:type="dxa" w:w="1009"/>
          </w:tcPr>
          <w:p>
            <w:pPr>
              <w:bidi/>
              <w:spacing w:after="20" w:before="20"/>
            </w:pPr>
            <w:r>
              <w:rPr>
                <w:b w:val="0"/>
                <w:sz w:val="22"/>
                <w:u w:val="none"/>
                <w:rtl/>
                <w:szCs w:val="22"/>
              </w:rPr>
              <w:t>פסקה 1</w:t>
            </w:r>
          </w:p>
        </w:tc>
        <w:tc>
          <w:tcPr>
            <w:tcW w:type="dxa" w:w="1413"/>
          </w:tcPr>
          <w:p>
            <w:pPr>
              <w:bidi/>
              <w:spacing w:after="20" w:before="20"/>
            </w:pPr>
            <w:r>
              <w:rPr>
                <w:b w:val="0"/>
                <w:sz w:val="22"/>
                <w:u w:val="none"/>
                <w:rtl/>
                <w:szCs w:val="22"/>
              </w:rPr>
              <w:t>השמיים</w:t>
            </w:r>
          </w:p>
        </w:tc>
        <w:tc>
          <w:tcPr>
            <w:tcW w:type="dxa" w:w="1716"/>
          </w:tcPr>
          <w:p>
            <w:pPr>
              <w:bidi/>
              <w:spacing w:after="20" w:before="20"/>
            </w:pPr>
            <w:r>
              <w:rPr>
                <w:b w:val="0"/>
                <w:sz w:val="22"/>
                <w:u w:val="none"/>
                <w:rtl/>
                <w:szCs w:val="22"/>
              </w:rPr>
              <w:t>שמיכה ישנה (שלא כובסה)</w:t>
            </w:r>
          </w:p>
        </w:tc>
        <w:tc>
          <w:tcPr>
            <w:tcW w:type="dxa" w:w="908"/>
          </w:tcPr>
          <w:p>
            <w:pPr>
              <w:bidi/>
              <w:spacing w:after="20" w:before="20"/>
            </w:pPr>
            <w:r>
              <w:rPr>
                <w:b w:val="0"/>
                <w:sz w:val="22"/>
                <w:u w:val="none"/>
                <w:rtl/>
                <w:szCs w:val="22"/>
              </w:rPr>
              <w:t>כמו</w:t>
            </w:r>
          </w:p>
        </w:tc>
        <w:tc>
          <w:tcPr>
            <w:tcW w:type="dxa" w:w="5046"/>
          </w:tcPr>
          <w:p>
            <w:pPr>
              <w:bidi/>
              <w:spacing w:after="20" w:before="20"/>
            </w:pPr>
            <w:r>
              <w:rPr>
                <w:b w:val="0"/>
                <w:sz w:val="22"/>
                <w:u w:val="none"/>
                <w:rtl/>
                <w:szCs w:val="22"/>
              </w:rPr>
              <w:t>אפורים, דהויים, עכורים; גם: כבדים, מכסים הכול, משרים עצבות ועזובה</w:t>
            </w:r>
          </w:p>
        </w:tc>
      </w:tr>
      <w:tr>
        <w:trPr>
          <w:cantSplit/>
          <w:trHeight w:val="624"/>
        </w:trPr>
        <w:tc>
          <w:tcPr>
            <w:tcW w:type="dxa" w:w="1009"/>
          </w:tcPr>
          <w:p>
            <w:pPr>
              <w:bidi/>
              <w:spacing w:after="20" w:before="20"/>
            </w:pPr>
            <w:r>
              <w:rPr>
                <w:b w:val="0"/>
                <w:sz w:val="22"/>
                <w:u w:val="none"/>
                <w:rtl/>
                <w:szCs w:val="22"/>
              </w:rPr>
              <w:t>פסקה 2</w:t>
            </w:r>
          </w:p>
        </w:tc>
        <w:tc>
          <w:tcPr>
            <w:tcW w:type="dxa" w:w="1413"/>
          </w:tcPr>
          <w:p>
            <w:pPr>
              <w:bidi/>
              <w:spacing w:after="20" w:before="20"/>
            </w:pPr>
            <w:r>
              <w:rPr>
                <w:b w:val="0"/>
                <w:sz w:val="22"/>
                <w:u w:val="none"/>
                <w:rtl/>
                <w:szCs w:val="22"/>
              </w:rPr>
              <w:t>התלמידים</w:t>
            </w:r>
          </w:p>
        </w:tc>
        <w:tc>
          <w:tcPr>
            <w:tcW w:type="dxa" w:w="1716"/>
          </w:tcPr>
          <w:p>
            <w:pPr>
              <w:bidi/>
              <w:spacing w:after="20" w:before="20"/>
            </w:pPr>
            <w:r>
              <w:rPr>
                <w:b w:val="0"/>
                <w:sz w:val="22"/>
                <w:u w:val="none"/>
                <w:rtl/>
                <w:szCs w:val="22"/>
              </w:rPr>
              <w:t>נחל שוצף</w:t>
            </w:r>
          </w:p>
        </w:tc>
        <w:tc>
          <w:tcPr>
            <w:tcW w:type="dxa" w:w="908"/>
          </w:tcPr>
          <w:p>
            <w:pPr>
              <w:bidi/>
              <w:spacing w:after="20" w:before="20"/>
            </w:pPr>
            <w:r>
              <w:rPr>
                <w:b w:val="0"/>
                <w:sz w:val="22"/>
                <w:u w:val="none"/>
                <w:rtl/>
                <w:szCs w:val="22"/>
              </w:rPr>
              <w:t>כמו</w:t>
            </w:r>
          </w:p>
        </w:tc>
        <w:tc>
          <w:tcPr>
            <w:tcW w:type="dxa" w:w="5046"/>
          </w:tcPr>
          <w:p>
            <w:pPr>
              <w:bidi/>
              <w:spacing w:after="20" w:before="20"/>
            </w:pPr>
            <w:r>
              <w:rPr>
                <w:b w:val="0"/>
                <w:sz w:val="22"/>
                <w:u w:val="none"/>
                <w:rtl/>
                <w:szCs w:val="22"/>
              </w:rPr>
              <w:t>רבים, נעים מהר ובכוח, זורמים יחד ועוקפים בלי לעצור (והמספרת – הסלע: דוממת, תקועה, לא חלק מהזרם)</w:t>
            </w:r>
          </w:p>
        </w:tc>
      </w:tr>
      <w:tr>
        <w:trPr>
          <w:cantSplit/>
          <w:trHeight w:val="624"/>
        </w:trPr>
        <w:tc>
          <w:tcPr>
            <w:tcW w:type="dxa" w:w="1009"/>
          </w:tcPr>
          <w:p>
            <w:pPr>
              <w:bidi/>
              <w:spacing w:after="20" w:before="20"/>
            </w:pPr>
            <w:r>
              <w:rPr>
                <w:b w:val="0"/>
                <w:sz w:val="22"/>
                <w:u w:val="none"/>
                <w:rtl/>
                <w:szCs w:val="22"/>
              </w:rPr>
              <w:t>פסקה 4</w:t>
            </w:r>
          </w:p>
        </w:tc>
        <w:tc>
          <w:tcPr>
            <w:tcW w:type="dxa" w:w="1413"/>
          </w:tcPr>
          <w:p>
            <w:pPr>
              <w:bidi/>
              <w:spacing w:after="20" w:before="20"/>
            </w:pPr>
            <w:r>
              <w:rPr>
                <w:b w:val="0"/>
                <w:sz w:val="22"/>
                <w:u w:val="none"/>
                <w:rtl/>
                <w:szCs w:val="22"/>
              </w:rPr>
              <w:t>המטרייה הצהובה</w:t>
            </w:r>
          </w:p>
        </w:tc>
        <w:tc>
          <w:tcPr>
            <w:tcW w:type="dxa" w:w="1716"/>
          </w:tcPr>
          <w:p>
            <w:pPr>
              <w:bidi/>
              <w:spacing w:after="20" w:before="20"/>
            </w:pPr>
            <w:r>
              <w:rPr>
                <w:b w:val="0"/>
                <w:sz w:val="22"/>
                <w:u w:val="none"/>
                <w:rtl/>
                <w:szCs w:val="22"/>
              </w:rPr>
              <w:t>שמש קטנה</w:t>
            </w:r>
          </w:p>
        </w:tc>
        <w:tc>
          <w:tcPr>
            <w:tcW w:type="dxa" w:w="908"/>
          </w:tcPr>
          <w:p>
            <w:pPr>
              <w:bidi/>
              <w:spacing w:after="20" w:before="20"/>
            </w:pPr>
            <w:r>
              <w:rPr>
                <w:b w:val="0"/>
                <w:sz w:val="22"/>
                <w:u w:val="none"/>
                <w:rtl/>
                <w:szCs w:val="22"/>
              </w:rPr>
              <w:t>כְּ־</w:t>
            </w:r>
          </w:p>
        </w:tc>
        <w:tc>
          <w:tcPr>
            <w:tcW w:type="dxa" w:w="5046"/>
          </w:tcPr>
          <w:p>
            <w:pPr>
              <w:bidi/>
              <w:spacing w:after="20" w:before="20"/>
            </w:pPr>
            <w:r>
              <w:rPr>
                <w:b w:val="0"/>
                <w:sz w:val="22"/>
                <w:u w:val="none"/>
                <w:rtl/>
                <w:szCs w:val="22"/>
              </w:rPr>
              <w:t>צבע צהוב, צורה עגולה, מאירה ומחממת, מעל הראש</w:t>
            </w:r>
          </w:p>
        </w:tc>
      </w:tr>
      <w:tr>
        <w:trPr>
          <w:cantSplit/>
          <w:trHeight w:val="624"/>
        </w:trPr>
        <w:tc>
          <w:tcPr>
            <w:tcW w:type="dxa" w:w="1009"/>
          </w:tcPr>
          <w:p>
            <w:pPr>
              <w:bidi/>
              <w:spacing w:after="20" w:before="20"/>
            </w:pPr>
            <w:r>
              <w:rPr>
                <w:b w:val="0"/>
                <w:sz w:val="22"/>
                <w:u w:val="none"/>
                <w:rtl/>
                <w:szCs w:val="22"/>
              </w:rPr>
              <w:t>פסקה 5</w:t>
            </w:r>
          </w:p>
        </w:tc>
        <w:tc>
          <w:tcPr>
            <w:tcW w:type="dxa" w:w="1413"/>
          </w:tcPr>
          <w:p>
            <w:pPr>
              <w:bidi/>
              <w:spacing w:after="20" w:before="20"/>
            </w:pPr>
            <w:r>
              <w:rPr>
                <w:b w:val="0"/>
                <w:sz w:val="22"/>
                <w:u w:val="none"/>
                <w:rtl/>
                <w:szCs w:val="22"/>
              </w:rPr>
              <w:t>הענן</w:t>
            </w:r>
          </w:p>
        </w:tc>
        <w:tc>
          <w:tcPr>
            <w:tcW w:type="dxa" w:w="1716"/>
          </w:tcPr>
          <w:p>
            <w:pPr>
              <w:bidi/>
              <w:spacing w:after="20" w:before="20"/>
            </w:pPr>
            <w:r>
              <w:rPr>
                <w:b w:val="0"/>
                <w:sz w:val="22"/>
                <w:u w:val="none"/>
                <w:rtl/>
                <w:szCs w:val="22"/>
              </w:rPr>
              <w:t>כבשה לבנה</w:t>
            </w:r>
          </w:p>
        </w:tc>
        <w:tc>
          <w:tcPr>
            <w:tcW w:type="dxa" w:w="908"/>
          </w:tcPr>
          <w:p>
            <w:pPr>
              <w:bidi/>
              <w:spacing w:after="20" w:before="20"/>
            </w:pPr>
            <w:r>
              <w:rPr>
                <w:b w:val="0"/>
                <w:sz w:val="22"/>
                <w:u w:val="none"/>
                <w:rtl/>
                <w:szCs w:val="22"/>
              </w:rPr>
              <w:t>כדמות</w:t>
            </w:r>
          </w:p>
        </w:tc>
        <w:tc>
          <w:tcPr>
            <w:tcW w:type="dxa" w:w="5046"/>
          </w:tcPr>
          <w:p>
            <w:pPr>
              <w:bidi/>
              <w:spacing w:after="20" w:before="20"/>
            </w:pPr>
            <w:r>
              <w:rPr>
                <w:b w:val="0"/>
                <w:sz w:val="22"/>
                <w:u w:val="none"/>
                <w:rtl/>
                <w:szCs w:val="22"/>
              </w:rPr>
              <w:t>לבן, רך וצמרירי, צורה, נע לאט</w:t>
            </w:r>
          </w:p>
        </w:tc>
      </w:tr>
    </w:tbl>
    <w:p>
      <w:pPr>
        <w:bidi/>
        <w:spacing w:before="0" w:after="40"/>
      </w:pPr>
    </w:p>
    <w:p>
      <w:pPr>
        <w:bidi/>
        <w:spacing w:before="0" w:after="80"/>
      </w:pPr>
      <w:r>
        <w:rPr>
          <w:b w:val="0"/>
          <w:sz w:val="23"/>
          <w:u w:val="none"/>
          <w:rtl/>
          <w:szCs w:val="23"/>
        </w:rPr>
        <w:t>ניקוד לשורה (3): המדומה ½, המדמה ½, מילת הדימוי ½, הצד השווה 1½ (תכונה אחת מנומקת מספיקה).</w:t>
      </w:r>
    </w:p>
    <w:p>
      <w:pPr>
        <w:keepNext/>
        <w:bidi/>
        <w:spacing w:before="160" w:after="40"/>
      </w:pPr>
      <w:r>
        <w:rPr>
          <w:b/>
          <w:color w:val="23336B"/>
          <w:sz w:val="26"/>
          <w:u w:val="none"/>
          <w:rtl/>
          <w:bCs/>
          <w:szCs w:val="26"/>
        </w:rPr>
        <w:t>חלק ג – 30 נק׳</w:t>
      </w:r>
    </w:p>
    <w:p>
      <w:pPr>
        <w:bidi/>
        <w:spacing w:before="0" w:after="80"/>
      </w:pPr>
      <w:r>
        <w:rPr>
          <w:b/>
          <w:sz w:val="23"/>
          <w:u w:val="none"/>
          <w:rtl/>
          <w:bCs/>
          <w:szCs w:val="23"/>
        </w:rPr>
        <w:t>שאלה 5 (6):</w:t>
      </w:r>
      <w:r>
        <w:rPr>
          <w:b w:val="0"/>
          <w:sz w:val="23"/>
          <w:u w:val="none"/>
          <w:rtl/>
          <w:szCs w:val="23"/>
        </w:rPr>
        <w:t xml:space="preserve"> א (2). הגעגועים מתוארים כאבן כבדה המונחת על החזה: הם כבדים, לוחצים, מכאיבים, "חונקים" ("כמעט לא הצלחתי לנשום") – המספרת עצובה ובודדה מאוד. ב (4). </w:t>
      </w:r>
      <w:r>
        <w:rPr>
          <w:b/>
          <w:sz w:val="23"/>
          <w:u w:val="none"/>
          <w:rtl/>
          <w:bCs/>
          <w:szCs w:val="23"/>
        </w:rPr>
        <w:t>מה לא השתנה:</w:t>
      </w:r>
      <w:r>
        <w:rPr>
          <w:b w:val="0"/>
          <w:sz w:val="23"/>
          <w:u w:val="none"/>
          <w:rtl/>
          <w:szCs w:val="23"/>
        </w:rPr>
        <w:t xml:space="preserve"> האבן/הגעגועים עדיין קיימים ("הגעגועים עדיין שם") – 1. </w:t>
      </w:r>
      <w:r>
        <w:rPr>
          <w:b/>
          <w:sz w:val="23"/>
          <w:u w:val="none"/>
          <w:rtl/>
          <w:bCs/>
          <w:szCs w:val="23"/>
        </w:rPr>
        <w:t>מה השתנה:</w:t>
      </w:r>
      <w:r>
        <w:rPr>
          <w:b w:val="0"/>
          <w:sz w:val="23"/>
          <w:u w:val="none"/>
          <w:rtl/>
          <w:szCs w:val="23"/>
        </w:rPr>
        <w:t xml:space="preserve"> האבן הפכה לחלוק נחל קטן, חלק וקל, שאפשר לשאת בכיס – הגעגועים קטנו, כבר אינם מכאיבים, ואפשר לחיות איתם – 1. </w:t>
      </w:r>
      <w:r>
        <w:rPr>
          <w:b/>
          <w:sz w:val="23"/>
          <w:u w:val="none"/>
          <w:rtl/>
          <w:bCs/>
          <w:szCs w:val="23"/>
        </w:rPr>
        <w:t>המשמעות:</w:t>
      </w:r>
      <w:r>
        <w:rPr>
          <w:b w:val="0"/>
          <w:sz w:val="23"/>
          <w:u w:val="none"/>
          <w:rtl/>
          <w:szCs w:val="23"/>
        </w:rPr>
        <w:t xml:space="preserve"> המספרת הסתגלה ומצאה מקום בעיר החדשה, אך היא לא שכחה את ביתה הקודם; הגעגועים נעשו חלק ממנה – 2.</w:t>
      </w:r>
    </w:p>
    <w:p>
      <w:pPr>
        <w:bidi/>
        <w:spacing w:before="0" w:after="80"/>
      </w:pPr>
      <w:r>
        <w:rPr>
          <w:b/>
          <w:sz w:val="23"/>
          <w:u w:val="none"/>
          <w:rtl/>
          <w:bCs/>
          <w:szCs w:val="23"/>
        </w:rPr>
        <w:t>שאלה 6 (8):</w:t>
      </w:r>
      <w:r>
        <w:rPr>
          <w:b w:val="0"/>
          <w:sz w:val="23"/>
          <w:u w:val="none"/>
          <w:rtl/>
          <w:szCs w:val="23"/>
        </w:rPr>
        <w:t xml:space="preserve"> א (2). הכיתה = ים סוער, והמספרת = סירת נייר קטנה (יש לקבל גם אחד משני חלקי המטאפורה עם הסבר, 1 נק׳). ב (4). גלים של צחוק ← הצחוק הרם של התלמידים, שמציף ומאיים עליה · משבי לחישות ← לחישות התלמידים (אולי עליה), שמבלבלות ומערערות אותה · נמל ← מקום בטוח: חבר או חברה, קבוצה שתקבל אותה · חופים תפוסים ← קבוצות החברים הקבועות / המקומות ליד החברים, שאין בהם מקום בשבילה. ג (2). סירת נייר קטנה ושברירית, נרטבת וטובעת בקלות – המספרת מרגישה חלשה, חסרת הגנה וחסרת שליטה מול "הים".</w:t>
      </w:r>
    </w:p>
    <w:p>
      <w:pPr>
        <w:bidi/>
        <w:spacing w:before="0" w:after="80"/>
      </w:pPr>
      <w:r>
        <w:rPr>
          <w:b/>
          <w:sz w:val="23"/>
          <w:u w:val="none"/>
          <w:rtl/>
          <w:bCs/>
          <w:szCs w:val="23"/>
        </w:rPr>
        <w:t>שאלה 7 (5):</w:t>
      </w:r>
      <w:r>
        <w:rPr>
          <w:b w:val="0"/>
          <w:sz w:val="23"/>
          <w:u w:val="none"/>
          <w:rtl/>
          <w:szCs w:val="23"/>
        </w:rPr>
        <w:t xml:space="preserve"> א (1). "הכיתה הייתה ים סוער" – מטאפורה; "הכיתה הייתה כמו ים סוער" – דימוי (½ לכל אחד). ב (4). בדימוי הכיתה רק </w:t>
      </w:r>
      <w:r>
        <w:rPr>
          <w:b/>
          <w:sz w:val="23"/>
          <w:u w:val="none"/>
          <w:rtl/>
          <w:bCs/>
          <w:szCs w:val="23"/>
        </w:rPr>
        <w:t>דומה</w:t>
      </w:r>
      <w:r>
        <w:rPr>
          <w:b w:val="0"/>
          <w:sz w:val="23"/>
          <w:u w:val="none"/>
          <w:rtl/>
          <w:szCs w:val="23"/>
        </w:rPr>
        <w:t xml:space="preserve"> לים; במטאפורה, בעיני המספרת, הכיתה </w:t>
      </w:r>
      <w:r>
        <w:rPr>
          <w:b/>
          <w:sz w:val="23"/>
          <w:u w:val="none"/>
          <w:rtl/>
          <w:bCs/>
          <w:szCs w:val="23"/>
        </w:rPr>
        <w:t>היא</w:t>
      </w:r>
      <w:r>
        <w:rPr>
          <w:b w:val="0"/>
          <w:sz w:val="23"/>
          <w:u w:val="none"/>
          <w:rtl/>
          <w:szCs w:val="23"/>
        </w:rPr>
        <w:t xml:space="preserve"> ים סוער – זהות מלאה, ישירה ועוצמתית יותר (2). כך הקורא חש את עוצמת הבדידות והאיום שהיא חווה, והמטאפורה מאפשרת להרחיב את התמונה לאורך כל הפסקה (סירה, גלים, נמל, חופים) (2). יש לקבל כל הסבר מנומק אחר.</w:t>
      </w:r>
    </w:p>
    <w:p>
      <w:pPr>
        <w:bidi/>
        <w:spacing w:before="0" w:after="80"/>
      </w:pPr>
      <w:r>
        <w:rPr>
          <w:b/>
          <w:sz w:val="23"/>
          <w:u w:val="none"/>
          <w:rtl/>
          <w:bCs/>
          <w:szCs w:val="23"/>
        </w:rPr>
        <w:t>שאלה 8 (5):</w:t>
      </w:r>
      <w:r>
        <w:rPr>
          <w:b w:val="0"/>
          <w:sz w:val="23"/>
          <w:u w:val="none"/>
          <w:rtl/>
          <w:szCs w:val="23"/>
        </w:rPr>
        <w:t xml:space="preserve"> א (2). השמיים "התאפקו" (שליטה עצמית, עצירת רגש) ו"פרצו בבכי" (בכי) – 1 לכל אחד. ב (3). השמיים משקפים את המספרת: גם היא "התאפקה" כל הבוקר ועצרה בתוכה את הבדידות והעצב; פרץ הגשם הוא כמו שחרור של הרגשות שהצטברו. בנוסף, הגשם מוביל לנקודת המפנה: בזכותו תמר מזמינה אותה אל מתחת למטרייה. (קשר בין השמיים לרגשות – 2; ההבנה שזה גם מניע את המפנה – 1.) יש לקבל גם: זו האנשה שיש בה מטאפורה (הגשם = דמעות).</w:t>
      </w:r>
    </w:p>
    <w:p>
      <w:pPr>
        <w:bidi/>
        <w:spacing w:before="0" w:after="80"/>
      </w:pPr>
      <w:r>
        <w:rPr>
          <w:b/>
          <w:sz w:val="23"/>
          <w:u w:val="none"/>
          <w:rtl/>
          <w:bCs/>
          <w:szCs w:val="23"/>
        </w:rPr>
        <w:t>שאלה 9 (6):</w:t>
      </w:r>
      <w:r>
        <w:rPr>
          <w:b w:val="0"/>
          <w:sz w:val="23"/>
          <w:u w:val="none"/>
          <w:rtl/>
          <w:szCs w:val="23"/>
        </w:rPr>
        <w:t xml:space="preserve"> א (1). האנשה (בשני התיאורים). ב (2). בפסקה 1 הבניינים קרים, מתנשאים ומתעלמים ("מלמעלה", "פנים חתומות", "לא אמר לי שלום"); בפסקה 5 הם חמים, מזמינים ושמחים ("שטפו את פניהם", "חייכו", "חלונות מוארים"). ג (3). הבניינים לא השתנו – השתנתה הדרך שבה המספרת רואה אותם (1). אחרי שמצאה חברה היא מרגישה שייכות, ולכן העיר כולה נראית לה מחייכת ומקבלת; ההאנשה משקפת את עולמה הפנימי (2).</w:t>
      </w:r>
    </w:p>
    <w:p>
      <w:pPr>
        <w:keepNext/>
        <w:bidi/>
        <w:spacing w:before="160" w:after="40"/>
      </w:pPr>
      <w:r>
        <w:rPr>
          <w:b/>
          <w:color w:val="23336B"/>
          <w:sz w:val="26"/>
          <w:u w:val="none"/>
          <w:rtl/>
          <w:bCs/>
          <w:szCs w:val="26"/>
        </w:rPr>
        <w:t>חלק ד – 24 נק׳</w:t>
      </w:r>
    </w:p>
    <w:p>
      <w:pPr>
        <w:bidi/>
        <w:spacing w:before="0" w:after="80"/>
      </w:pPr>
      <w:r>
        <w:rPr>
          <w:b/>
          <w:sz w:val="23"/>
          <w:u w:val="none"/>
          <w:rtl/>
          <w:bCs/>
          <w:szCs w:val="23"/>
        </w:rPr>
        <w:t>שאלה 10 (6):</w:t>
      </w:r>
      <w:r>
        <w:rPr>
          <w:b w:val="0"/>
          <w:sz w:val="23"/>
          <w:u w:val="none"/>
          <w:rtl/>
          <w:szCs w:val="23"/>
        </w:rPr>
        <w:t xml:space="preserve"> א (2). "המטרייה הצהובה שלה נפתחה מעל ראשי" (מותר להשאיר "באמצע החורף"). אם נשארה השוואה כלשהי – 0. ב (4) – שניים מתוך (2 לכל אחד): אור, חום ושמחה ברגע אפור וקר (ניגוד לשמיים האפורים בפסקה 1) · תקווה – "שמש באמצע החורף" היא דבר טוב ובלתי צפוי ברגע קשה · המעשה של תמר מאיר את עולמה של המספרת, ותמר מוצגת כמקור לחום · התמונה החזותית (צבע, צורה) – הקורא יכול לראות ולהרגיש את הרגע.</w:t>
      </w:r>
    </w:p>
    <w:p>
      <w:pPr>
        <w:bidi/>
        <w:spacing w:before="0" w:after="80"/>
      </w:pPr>
      <w:r>
        <w:rPr>
          <w:b/>
          <w:sz w:val="23"/>
          <w:u w:val="none"/>
          <w:rtl/>
          <w:bCs/>
          <w:szCs w:val="23"/>
        </w:rPr>
        <w:t>שאלה 11 (6):</w:t>
      </w:r>
      <w:r>
        <w:rPr>
          <w:b w:val="0"/>
          <w:sz w:val="23"/>
          <w:u w:val="none"/>
          <w:rtl/>
          <w:szCs w:val="23"/>
        </w:rPr>
        <w:t xml:space="preserve"> א (2). "חיבקתי חזק את התרמיל שלי, כאילו היה גלגל הצלה בים פתוח" – פסקה 1, דימוי · "המטרייה הצהובה הזאת היא הנמל שחיפשתי" – פסקה 4, מטאפורה (1 לכל אחד; ½ אם חסר סוג האמצעי או מספר הפסקה). הערה: "נדד לאיטו אל הים" (פסקה 5) הוא ים ממשי, לא אמצעי אומנותי. ב (4). בפסקה 3 המספרת חיפשה נמל ולא מצאה (כל החופים תפוסים); בפסקה 4 היא מוצאת אותו: המטרייה של תמר – כלומר החברוּת – היא המקום הבטוח שחיפשה (2). המטאפורה המורחבת נסגרת: סירת הנייר שאבדה בים הסוער מוצאת נמל, ולכן זה רגע המעבר מבדידות לשייכות – נקודת המפנה (2).</w:t>
      </w:r>
    </w:p>
    <w:p>
      <w:pPr>
        <w:bidi/>
        <w:spacing w:before="0" w:after="80"/>
      </w:pPr>
      <w:r>
        <w:rPr>
          <w:b/>
          <w:sz w:val="23"/>
          <w:u w:val="none"/>
          <w:rtl/>
          <w:bCs/>
          <w:szCs w:val="23"/>
        </w:rPr>
        <w:t>שאלה 12 (4) – מקרה גבולי, בכוונה:</w:t>
      </w:r>
      <w:r>
        <w:rPr>
          <w:b w:val="0"/>
          <w:sz w:val="23"/>
          <w:u w:val="none"/>
          <w:rtl/>
          <w:szCs w:val="23"/>
        </w:rPr>
        <w:t xml:space="preserve"> שניהם צודקים. מבחינת המבנה זו </w:t>
      </w:r>
      <w:r>
        <w:rPr>
          <w:b/>
          <w:sz w:val="23"/>
          <w:u w:val="none"/>
          <w:rtl/>
          <w:bCs/>
          <w:szCs w:val="23"/>
        </w:rPr>
        <w:t>מטאפורה</w:t>
      </w:r>
      <w:r>
        <w:rPr>
          <w:b w:val="0"/>
          <w:sz w:val="23"/>
          <w:u w:val="none"/>
          <w:rtl/>
          <w:szCs w:val="23"/>
        </w:rPr>
        <w:t xml:space="preserve">: "הגשם הוא חבר" – השוואה בלי מילת דימוי (2). אבל מכיוון שהגשם מושווה לחבר – לאדם – ניתנת לו תכונה אנושית (חברוּת, נאמנות), ולכן יש כאן גם </w:t>
      </w:r>
      <w:r>
        <w:rPr>
          <w:b/>
          <w:sz w:val="23"/>
          <w:u w:val="none"/>
          <w:rtl/>
          <w:bCs/>
          <w:szCs w:val="23"/>
        </w:rPr>
        <w:t>האנשה</w:t>
      </w:r>
      <w:r>
        <w:rPr>
          <w:b w:val="0"/>
          <w:sz w:val="23"/>
          <w:u w:val="none"/>
          <w:rtl/>
          <w:szCs w:val="23"/>
        </w:rPr>
        <w:t xml:space="preserve"> (2). מקובל לקרוא לזה "מטאפורה מאנישה". תלמיד שבחר צד אחד ונימק נכון – 3; בחירה בלי נימוק – 1.</w:t>
      </w:r>
    </w:p>
    <w:p>
      <w:pPr>
        <w:bidi/>
        <w:spacing w:before="0" w:after="80"/>
      </w:pPr>
      <w:r>
        <w:rPr>
          <w:b/>
          <w:sz w:val="23"/>
          <w:u w:val="none"/>
          <w:rtl/>
          <w:bCs/>
          <w:szCs w:val="23"/>
        </w:rPr>
        <w:t>שאלה 13 (8) – מחוון לפסקת הניתוח:</w:t>
      </w:r>
      <w:r>
        <w:rPr>
          <w:b w:val="0"/>
          <w:sz w:val="23"/>
          <w:u w:val="none"/>
          <w:rtl/>
          <w:szCs w:val="23"/>
        </w:rPr>
        <w:t xml:space="preserve"> טענה ברורה שעונה על השאלה (למשל: "האמצעים האומנותיים מראים כיצד המספרת עוברת מבדידות ופחד לשייכות ושמחה") – 1½ · דוגמה 1: ציטוט מדויק + מספר פסקה (½), זיהוי נכון של האמצעי (½), הסבר הקשר לרגשות (1½) – 2½ · דוגמה 2 מסוג אחר של אמצעי – 2½ (אם שתי הדוגמאות מאותו סוג – להפחית ½) · ארגון ולשון: משפט סיכום, מילות קישור, לשון תקינה – 1½.</w:t>
      </w:r>
    </w:p>
    <w:p>
      <w:pPr>
        <w:bidi/>
        <w:spacing w:before="0" w:after="80"/>
      </w:pPr>
      <w:r>
        <w:rPr>
          <w:b w:val="0"/>
          <w:sz w:val="23"/>
          <w:u w:val="none"/>
          <w:rtl/>
          <w:szCs w:val="23"/>
        </w:rPr>
        <w:t>זוגות מתאימים לדוגמה: הבניינים בפסקה 1 מול פסקה 5 (האנשה) · האבן מול חלוק הנחל (מטאפורה) · ים סוער/סירת נייר מול "הנמל שחיפשתי" (מטאפורה) · השמיים כמו שמיכה ישנה (דימוי) מול המטרייה כְּשמש (דימוי) · גלגל הצלה (דימוי).</w:t>
      </w:r>
    </w:p>
    <w:p>
      <w:pPr>
        <w:keepNext/>
        <w:bidi/>
        <w:spacing w:before="160" w:after="40"/>
      </w:pPr>
      <w:r>
        <w:rPr>
          <w:b/>
          <w:color w:val="23336B"/>
          <w:sz w:val="26"/>
          <w:u w:val="none"/>
          <w:rtl/>
          <w:bCs/>
          <w:szCs w:val="26"/>
        </w:rPr>
        <w:t>חלק ה – 14 נק׳</w:t>
      </w:r>
    </w:p>
    <w:p>
      <w:pPr>
        <w:bidi/>
        <w:spacing w:before="0" w:after="80"/>
      </w:pPr>
      <w:r>
        <w:rPr>
          <w:b/>
          <w:sz w:val="23"/>
          <w:u w:val="none"/>
          <w:rtl/>
          <w:bCs/>
          <w:szCs w:val="23"/>
        </w:rPr>
        <w:t>שאלה 14 (14):</w:t>
      </w:r>
      <w:r>
        <w:rPr>
          <w:b w:val="0"/>
          <w:sz w:val="23"/>
          <w:u w:val="none"/>
          <w:rtl/>
          <w:szCs w:val="23"/>
        </w:rPr>
        <w:t xml:space="preserve"> לכל אמצעי – 3 נק׳ (סה״כ 9): צורה נכונה ומסומנת נכון (דימוי – עם מילת דימוי; מטאפורה – בלי מילת דימוי; האנשה – פעולה או תכונה של אדם לדבר שאינו אדם) – 2; התאמה לסיפור ומקוריות – 1. המשכיות (אותן דמויות, אותו עולם, המשך הגיוני של העלילה) – 2 · מבנה ולכידות – 2 · לשון תקינה – 1. אמצעי נכון שלא סומן או סומן באות שגויה – 1 מתוך 2 על הצורה.</w:t>
      </w:r>
    </w:p>
    <w:p>
      <w:pPr>
        <w:keepNext/>
        <w:bidi/>
        <w:spacing w:before="160" w:after="40"/>
      </w:pPr>
      <w:r>
        <w:rPr>
          <w:b/>
          <w:color w:val="23336B"/>
          <w:sz w:val="26"/>
          <w:u w:val="none"/>
          <w:rtl/>
          <w:bCs/>
          <w:szCs w:val="26"/>
        </w:rPr>
        <w:t>בונוס – 5 נק׳</w:t>
      </w:r>
    </w:p>
    <w:p>
      <w:pPr>
        <w:bidi/>
        <w:spacing w:before="0" w:after="80"/>
      </w:pPr>
      <w:r>
        <w:rPr>
          <w:b w:val="0"/>
          <w:sz w:val="23"/>
          <w:u w:val="none"/>
          <w:rtl/>
          <w:szCs w:val="23"/>
        </w:rPr>
        <w:t>כותרת המבוססת על אמצעי מהקטע (למשל "סירת נייר מצאה נמל" – מטאפורה; "שמש באמצע החורף" – מבוסס על הדימוי בפסקה 4; "הבניינים שחייכו" – האנשה) – 2 · זיהוי נכון של סוג האמצעי – 1 · הסבר הקשר לרעיון הסיפור (בדידות ← שייכות, חברוּת) – 2.</w:t>
      </w:r>
    </w:p>
    <w:p>
      <w:pPr>
        <w:keepNext/>
        <w:bidi/>
        <w:spacing w:before="160" w:after="40"/>
      </w:pPr>
      <w:r>
        <w:rPr>
          <w:b/>
          <w:color w:val="23336B"/>
          <w:sz w:val="26"/>
          <w:u w:val="none"/>
          <w:rtl/>
          <w:bCs/>
          <w:szCs w:val="26"/>
        </w:rPr>
        <w:t>ריכוז האמצעים בקטע (למורה)</w:t>
      </w:r>
    </w:p>
    <w:p>
      <w:pPr>
        <w:bidi/>
        <w:spacing w:before="0" w:after="80"/>
      </w:pPr>
      <w:r>
        <w:rPr>
          <w:b/>
          <w:sz w:val="23"/>
          <w:u w:val="none"/>
          <w:rtl/>
          <w:bCs/>
          <w:szCs w:val="23"/>
        </w:rPr>
        <w:t>דימויים (8):</w:t>
      </w:r>
      <w:r>
        <w:rPr>
          <w:b w:val="0"/>
          <w:sz w:val="23"/>
          <w:u w:val="none"/>
          <w:rtl/>
          <w:szCs w:val="23"/>
        </w:rPr>
        <w:t xml:space="preserve"> שמיים כמו שמיכה ישנה (1) · התרמיל כאילו היה גלגל הצלה (1) · התלמידים כמו נחל שוצף סביב סלע (2) · החיוך כמו מגדלור על חוף אחר (3) · קול הגשם דומה לתיפוף של אלפי אצבעות (4) · המטרייה כְּשמש קטנה (4) · הרחובות כמו מראות (5) · ענן כדמות כבשה לבנה (5).</w:t>
      </w:r>
    </w:p>
    <w:p>
      <w:pPr>
        <w:bidi/>
        <w:spacing w:before="0" w:after="80"/>
      </w:pPr>
      <w:r>
        <w:rPr>
          <w:b/>
          <w:sz w:val="23"/>
          <w:u w:val="none"/>
          <w:rtl/>
          <w:bCs/>
          <w:szCs w:val="23"/>
        </w:rPr>
        <w:t>מטאפורות (5 + מורחבת):</w:t>
      </w:r>
      <w:r>
        <w:rPr>
          <w:b w:val="0"/>
          <w:sz w:val="23"/>
          <w:u w:val="none"/>
          <w:rtl/>
          <w:szCs w:val="23"/>
        </w:rPr>
        <w:t xml:space="preserve"> הגעגועים היו אבן כבדה (1) · הרגליים היו עופרת (2) · </w:t>
      </w:r>
      <w:r>
        <w:rPr>
          <w:b/>
          <w:sz w:val="23"/>
          <w:u w:val="none"/>
          <w:rtl/>
          <w:bCs/>
          <w:szCs w:val="23"/>
        </w:rPr>
        <w:t>מטאפורה מורחבת</w:t>
      </w:r>
      <w:r>
        <w:rPr>
          <w:b w:val="0"/>
          <w:sz w:val="23"/>
          <w:u w:val="none"/>
          <w:rtl/>
          <w:szCs w:val="23"/>
        </w:rPr>
        <w:t>: הכיתה ים סוער, המספרת סירת נייר, גלים של צחוק, משבי לחישות, נמל, חופים תפוסים (3) · המטרייה היא הנמל שחיפשתי (4) · האבן הפכה לחלוק נחל (5).</w:t>
      </w:r>
    </w:p>
    <w:p>
      <w:pPr>
        <w:bidi/>
        <w:spacing w:before="0" w:after="80"/>
      </w:pPr>
      <w:r>
        <w:rPr>
          <w:b/>
          <w:sz w:val="23"/>
          <w:u w:val="none"/>
          <w:rtl/>
          <w:bCs/>
          <w:szCs w:val="23"/>
        </w:rPr>
        <w:t>האנשות (5):</w:t>
      </w:r>
      <w:r>
        <w:rPr>
          <w:b w:val="0"/>
          <w:sz w:val="23"/>
          <w:u w:val="none"/>
          <w:rtl/>
          <w:szCs w:val="23"/>
        </w:rPr>
        <w:t xml:space="preserve"> משאית ההובלה נאנחה (1) · הבניינים הביטו בפנים חתומות ולא אמרו שלום (1) · השער פיהק בשעמום (2) · השמיים התאפקו ופרצו בבכי (4) · הבניינים שטפו את פניהם וחייכו (5).</w:t>
      </w:r>
    </w:p>
    <w:p>
      <w:pPr>
        <w:bidi/>
        <w:spacing w:before="0" w:after="80"/>
      </w:pPr>
      <w:r>
        <w:rPr>
          <w:b/>
          <w:sz w:val="23"/>
          <w:u w:val="none"/>
          <w:rtl/>
          <w:bCs/>
          <w:szCs w:val="23"/>
        </w:rPr>
        <w:t>מקרה גבולי (1):</w:t>
      </w:r>
      <w:r>
        <w:rPr>
          <w:b w:val="0"/>
          <w:sz w:val="23"/>
          <w:u w:val="none"/>
          <w:rtl/>
          <w:szCs w:val="23"/>
        </w:rPr>
        <w:t xml:space="preserve"> "הגשם הוא חבר ותיק שלי" (5) – מטאפורה מאנישה (ראו שאלה 12).</w:t>
      </w:r>
    </w:p>
    <w:sectPr w:rsidR="00FC693F" w:rsidRPr="0006063C" w:rsidSect="00034616">
      <w:footerReference w:type="default" r:id="rId9"/>
      <w:pgSz w:w="11906" w:h="16838"/>
      <w:pgMar w:top="794" w:right="907" w:bottom="907" w:left="907"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432000" cy="432000"/>
          <wp:docPr id="1" name="Picture 1" descr="רוית ראש בן ישי – מניצוץ להשראה" title="רוית ראש בן ישי – מניצוץ להשראה"/>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432000" cy="432000"/>
                  </a:xfrm>
                  <a:prstGeom prst="rect"/>
                </pic:spPr>
              </pic:pic>
            </a:graphicData>
          </a:graphic>
        </wp:inline>
      </w:drawing>
    </w:r>
    <w:r>
      <w:rPr>
        <w:b w:val="0"/>
        <w:color w:val="5B6378"/>
        <w:sz w:val="19"/>
        <w:u w:val="none"/>
        <w:rtl/>
        <w:szCs w:val="19"/>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312" w:lineRule="auto"/>
    </w:pPr>
    <w:rPr>
      <w:rFonts w:ascii="Arial" w:hAnsi="Arial" w:cs="Arial" w:eastAsia="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מבחן בספרות – אמצעים אומנותיים: דימוי, האנשה ומטאפורה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